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2D5B" w14:textId="03D583D9" w:rsidR="00583A86" w:rsidRDefault="0084583E" w:rsidP="00A65BE8">
      <w:pPr>
        <w:pStyle w:val="Pealkiri1"/>
        <w:ind w:left="-5"/>
        <w:jc w:val="both"/>
        <w:rPr>
          <w:b w:val="0"/>
        </w:rPr>
      </w:pPr>
      <w:r>
        <w:t>Väikeh</w:t>
      </w:r>
      <w:r w:rsidR="009C371F">
        <w:t>anke "</w:t>
      </w:r>
      <w:bookmarkStart w:id="0" w:name="_Hlk215693941"/>
      <w:r w:rsidR="00F83C68">
        <w:t>Veebimonitooringusüsteemi kasutusõiguse soetamine ja seadistamine</w:t>
      </w:r>
      <w:bookmarkEnd w:id="0"/>
      <w:r w:rsidR="009C371F" w:rsidRPr="0084583E">
        <w:rPr>
          <w:iCs/>
        </w:rPr>
        <w:t>"</w:t>
      </w:r>
      <w:r w:rsidR="009C371F">
        <w:t xml:space="preserve"> pakkumuse kutse</w:t>
      </w:r>
      <w:r w:rsidR="009C371F">
        <w:rPr>
          <w:b w:val="0"/>
        </w:rPr>
        <w:t xml:space="preserve"> </w:t>
      </w:r>
    </w:p>
    <w:p w14:paraId="5AE02764" w14:textId="77777777" w:rsidR="00457832" w:rsidRPr="00457832" w:rsidRDefault="00457832" w:rsidP="00457832"/>
    <w:p w14:paraId="2731E1BD" w14:textId="61F67B17" w:rsidR="00583A86" w:rsidRDefault="009C371F" w:rsidP="00A65BE8">
      <w:pPr>
        <w:ind w:right="0"/>
      </w:pPr>
      <w:r>
        <w:t>Tarbijakaitse ja Tehnilise Järelevalve Amet (edaspidi nimetatud kui Hankija/TTJA) palub esitada pakkumus vastavalt kutses sisalduvatele tingimu</w:t>
      </w:r>
      <w:r w:rsidRPr="00E05074">
        <w:rPr>
          <w:color w:val="000000" w:themeColor="text1"/>
        </w:rPr>
        <w:t xml:space="preserve">stele. </w:t>
      </w:r>
      <w:r w:rsidR="00653C40" w:rsidRPr="00E05074">
        <w:rPr>
          <w:color w:val="000000" w:themeColor="text1"/>
        </w:rPr>
        <w:t xml:space="preserve">Pakkumuse kutse tõlge inglise keelde on </w:t>
      </w:r>
      <w:r w:rsidR="00653C40" w:rsidRPr="00457832">
        <w:rPr>
          <w:color w:val="000000" w:themeColor="text1"/>
        </w:rPr>
        <w:t>toodud lisas 1.</w:t>
      </w:r>
    </w:p>
    <w:p w14:paraId="72F1140E" w14:textId="77777777" w:rsidR="00E45AC6" w:rsidRDefault="00E45AC6" w:rsidP="00A65BE8">
      <w:pPr>
        <w:ind w:right="0"/>
      </w:pPr>
    </w:p>
    <w:p w14:paraId="18BF9292" w14:textId="7F15CD1A" w:rsidR="00F83C68" w:rsidRDefault="009739BB" w:rsidP="00A65BE8">
      <w:pPr>
        <w:spacing w:after="0" w:line="259" w:lineRule="auto"/>
        <w:ind w:left="0" w:right="0" w:firstLine="0"/>
        <w:rPr>
          <w:iCs/>
        </w:rPr>
      </w:pPr>
      <w:r w:rsidRPr="009739BB">
        <w:rPr>
          <w:iCs/>
        </w:rPr>
        <w:t xml:space="preserve">TTJA teostab riiklikku järelevalvet infoühiskonna teenuse seaduses </w:t>
      </w:r>
      <w:r>
        <w:rPr>
          <w:iCs/>
        </w:rPr>
        <w:t xml:space="preserve">ja meediateenuste seaduses </w:t>
      </w:r>
      <w:r w:rsidRPr="009739BB">
        <w:rPr>
          <w:iCs/>
        </w:rPr>
        <w:t>sätestatud nõuete täitmise üle.</w:t>
      </w:r>
      <w:r w:rsidRPr="009739BB">
        <w:t xml:space="preserve"> </w:t>
      </w:r>
      <w:r w:rsidR="00611B0B">
        <w:t xml:space="preserve">TTJA täidab digiteenuste koordinaatori (digiteenuste määrus) ja sõltumatu meediaregulaatori (audiovisuaalmeedia teenuste direktiiv)  rolli Eestis. </w:t>
      </w:r>
      <w:r w:rsidRPr="009739BB">
        <w:rPr>
          <w:iCs/>
        </w:rPr>
        <w:t>TTJA pädevuses on kontrollida, et infoühiskonna teenuse kaudu levitatud teabega ei kihutataks vihkamisele, vägivallale või diskrimineerimisele kodakondsuse, etnilise päritolu, keele, usutunnistuse või muude Eesti Vabariigi põhiseaduse §-s 12 nimetatud asjaolude tõttu, õhutataks sõda või  õigustataks sõjakuritegusid.</w:t>
      </w:r>
    </w:p>
    <w:p w14:paraId="02723AC3" w14:textId="77777777" w:rsidR="00FA75A8" w:rsidRDefault="00FA75A8" w:rsidP="00A65BE8">
      <w:pPr>
        <w:spacing w:after="0" w:line="259" w:lineRule="auto"/>
        <w:ind w:left="0" w:right="0" w:firstLine="0"/>
        <w:rPr>
          <w:iCs/>
        </w:rPr>
      </w:pPr>
    </w:p>
    <w:p w14:paraId="56A091CE" w14:textId="6D5B9446" w:rsidR="00FA75A8" w:rsidRDefault="00FA75A8" w:rsidP="00A65BE8">
      <w:pPr>
        <w:spacing w:after="0" w:line="259" w:lineRule="auto"/>
        <w:ind w:left="0" w:right="0" w:firstLine="0"/>
        <w:rPr>
          <w:iCs/>
        </w:rPr>
      </w:pPr>
      <w:r w:rsidRPr="00A65BE8">
        <w:rPr>
          <w:iCs/>
        </w:rPr>
        <w:t xml:space="preserve">Hanke eesmärk on </w:t>
      </w:r>
      <w:r>
        <w:rPr>
          <w:iCs/>
        </w:rPr>
        <w:t>TTJA-le</w:t>
      </w:r>
      <w:r w:rsidRPr="00A65BE8">
        <w:rPr>
          <w:iCs/>
        </w:rPr>
        <w:t xml:space="preserve"> oma ülesannete täitmiseks vajaliku</w:t>
      </w:r>
      <w:r>
        <w:rPr>
          <w:iCs/>
        </w:rPr>
        <w:t xml:space="preserve"> </w:t>
      </w:r>
      <w:bookmarkStart w:id="1" w:name="_Hlk215693880"/>
      <w:r>
        <w:rPr>
          <w:iCs/>
        </w:rPr>
        <w:t>veebimonitooringusüsteemi</w:t>
      </w:r>
      <w:r w:rsidRPr="00A65BE8">
        <w:rPr>
          <w:iCs/>
        </w:rPr>
        <w:t xml:space="preserve"> kasutusõiguse hankimine</w:t>
      </w:r>
      <w:r>
        <w:rPr>
          <w:iCs/>
        </w:rPr>
        <w:t xml:space="preserve"> ja selle seadistamine</w:t>
      </w:r>
      <w:r w:rsidRPr="00A65BE8">
        <w:rPr>
          <w:iCs/>
        </w:rPr>
        <w:t xml:space="preserve">, mis </w:t>
      </w:r>
      <w:r>
        <w:rPr>
          <w:iCs/>
        </w:rPr>
        <w:t xml:space="preserve">võimaldab märksõnade, postituse sisu tüübi, keele, allika, teemaviite ja muu taolise tunnuse alusel infoühiskonnateenustes avaldatud teavet monitoorida. </w:t>
      </w:r>
      <w:bookmarkEnd w:id="1"/>
    </w:p>
    <w:p w14:paraId="5EB628A6" w14:textId="77777777" w:rsidR="00E45AC6" w:rsidRDefault="00E45AC6" w:rsidP="00A65BE8">
      <w:pPr>
        <w:spacing w:after="0" w:line="259" w:lineRule="auto"/>
        <w:ind w:left="0" w:right="0" w:firstLine="0"/>
      </w:pPr>
    </w:p>
    <w:p w14:paraId="0AF2870F" w14:textId="172A75B2" w:rsidR="00583A86" w:rsidRDefault="009C371F" w:rsidP="00A65BE8">
      <w:pPr>
        <w:ind w:right="0"/>
      </w:pPr>
      <w:r>
        <w:rPr>
          <w:b/>
        </w:rPr>
        <w:t xml:space="preserve">Eelarve: </w:t>
      </w:r>
      <w:r w:rsidR="004E3BC0">
        <w:rPr>
          <w:bCs/>
        </w:rPr>
        <w:t>2</w:t>
      </w:r>
      <w:r w:rsidR="00340BB4">
        <w:rPr>
          <w:bCs/>
        </w:rPr>
        <w:t>9</w:t>
      </w:r>
      <w:r w:rsidR="004E3BC0">
        <w:rPr>
          <w:bCs/>
        </w:rPr>
        <w:t xml:space="preserve"> </w:t>
      </w:r>
      <w:r w:rsidR="008E2FEB">
        <w:rPr>
          <w:bCs/>
        </w:rPr>
        <w:t>0</w:t>
      </w:r>
      <w:r w:rsidR="004E3BC0">
        <w:rPr>
          <w:bCs/>
        </w:rPr>
        <w:t>00</w:t>
      </w:r>
      <w:r w:rsidR="00930F05" w:rsidRPr="00930F05">
        <w:rPr>
          <w:bCs/>
        </w:rPr>
        <w:t xml:space="preserve"> </w:t>
      </w:r>
      <w:r>
        <w:t xml:space="preserve">EUR (ilma käibemaksuta) </w:t>
      </w:r>
      <w:r w:rsidR="00274F5B" w:rsidDel="00274F5B">
        <w:t xml:space="preserve"> </w:t>
      </w:r>
    </w:p>
    <w:p w14:paraId="15340306" w14:textId="77777777" w:rsidR="00583A86" w:rsidRDefault="009C371F">
      <w:pPr>
        <w:spacing w:after="0" w:line="259" w:lineRule="auto"/>
        <w:ind w:left="0" w:right="0" w:firstLine="0"/>
        <w:jc w:val="left"/>
      </w:pPr>
      <w:r>
        <w:t xml:space="preserve"> </w:t>
      </w:r>
    </w:p>
    <w:p w14:paraId="0764B5FB" w14:textId="0EC7C134" w:rsidR="00583A86" w:rsidRDefault="009C371F" w:rsidP="00150297">
      <w:pPr>
        <w:pStyle w:val="Pealkiri1"/>
        <w:numPr>
          <w:ilvl w:val="0"/>
          <w:numId w:val="11"/>
        </w:numPr>
      </w:pPr>
      <w:r>
        <w:t xml:space="preserve">Pakkumuse vormistamine ja esitamine </w:t>
      </w:r>
    </w:p>
    <w:p w14:paraId="09C58FF1" w14:textId="22CDE54D" w:rsidR="00150297" w:rsidRPr="00E05074" w:rsidRDefault="00150297" w:rsidP="00C368DE">
      <w:pPr>
        <w:pStyle w:val="Loendilik"/>
        <w:numPr>
          <w:ilvl w:val="1"/>
          <w:numId w:val="11"/>
        </w:numPr>
        <w:ind w:left="993" w:right="0" w:hanging="567"/>
        <w:rPr>
          <w:color w:val="000000" w:themeColor="text1"/>
        </w:rPr>
      </w:pPr>
      <w:r w:rsidRPr="00E05074">
        <w:rPr>
          <w:color w:val="000000" w:themeColor="text1"/>
        </w:rPr>
        <w:t>Pakkumuse võib esitada eesti või inglise keeles.</w:t>
      </w:r>
    </w:p>
    <w:p w14:paraId="42A2ABF7" w14:textId="2A68936E" w:rsidR="00FF2606" w:rsidRPr="00E05074" w:rsidRDefault="00653C40" w:rsidP="00E05074">
      <w:pPr>
        <w:pStyle w:val="Loendilik"/>
        <w:numPr>
          <w:ilvl w:val="1"/>
          <w:numId w:val="11"/>
        </w:numPr>
        <w:ind w:left="993" w:right="0" w:hanging="567"/>
        <w:rPr>
          <w:color w:val="000000" w:themeColor="text1"/>
        </w:rPr>
      </w:pPr>
      <w:r w:rsidRPr="00E05074">
        <w:rPr>
          <w:color w:val="000000" w:themeColor="text1"/>
        </w:rPr>
        <w:t>Koos pakkumusega esitab p</w:t>
      </w:r>
      <w:r w:rsidR="00FF2606" w:rsidRPr="00E05074">
        <w:rPr>
          <w:color w:val="000000" w:themeColor="text1"/>
        </w:rPr>
        <w:t xml:space="preserve">akkuja pakutava andmebaasi </w:t>
      </w:r>
      <w:r w:rsidRPr="00E05074">
        <w:rPr>
          <w:color w:val="000000" w:themeColor="text1"/>
        </w:rPr>
        <w:t xml:space="preserve">vastavuse kinnituse tehnilisele kirjeldusele ja </w:t>
      </w:r>
      <w:r w:rsidR="00FF2606" w:rsidRPr="00457832">
        <w:rPr>
          <w:color w:val="000000" w:themeColor="text1"/>
        </w:rPr>
        <w:t>funktsionaalsuse</w:t>
      </w:r>
      <w:r w:rsidRPr="00457832">
        <w:rPr>
          <w:color w:val="000000" w:themeColor="text1"/>
        </w:rPr>
        <w:t>le</w:t>
      </w:r>
      <w:r w:rsidR="00301021" w:rsidRPr="00457832">
        <w:rPr>
          <w:color w:val="000000" w:themeColor="text1"/>
        </w:rPr>
        <w:t xml:space="preserve"> lisas 2 toodud</w:t>
      </w:r>
      <w:r w:rsidR="00301021" w:rsidRPr="00E05074">
        <w:rPr>
          <w:color w:val="000000" w:themeColor="text1"/>
        </w:rPr>
        <w:t xml:space="preserve"> vormil</w:t>
      </w:r>
      <w:r w:rsidR="008E2FEB">
        <w:rPr>
          <w:color w:val="000000" w:themeColor="text1"/>
        </w:rPr>
        <w:t xml:space="preserve"> kas eesti või inglise keeles</w:t>
      </w:r>
      <w:r w:rsidR="00301021" w:rsidRPr="00E05074">
        <w:rPr>
          <w:color w:val="000000" w:themeColor="text1"/>
        </w:rPr>
        <w:t>.</w:t>
      </w:r>
    </w:p>
    <w:p w14:paraId="5CFADF6D" w14:textId="7A0496B5" w:rsidR="00BE1D34" w:rsidRDefault="009C371F" w:rsidP="00C368DE">
      <w:pPr>
        <w:pStyle w:val="Loendilik"/>
        <w:numPr>
          <w:ilvl w:val="1"/>
          <w:numId w:val="11"/>
        </w:numPr>
        <w:ind w:left="993" w:right="0" w:hanging="567"/>
      </w:pPr>
      <w:r>
        <w:t>Pakkumuse maksumus tuleb esitada ilma käibemaksuta.</w:t>
      </w:r>
    </w:p>
    <w:p w14:paraId="1D33FC48" w14:textId="7CF6B162" w:rsidR="00AA736D" w:rsidRDefault="00AA736D" w:rsidP="00C368DE">
      <w:pPr>
        <w:pStyle w:val="Loendilik"/>
        <w:numPr>
          <w:ilvl w:val="1"/>
          <w:numId w:val="11"/>
        </w:numPr>
        <w:ind w:left="993" w:right="0" w:hanging="567"/>
      </w:pPr>
      <w:r>
        <w:t xml:space="preserve">Pakkumuse maksumus </w:t>
      </w:r>
      <w:r w:rsidRPr="00AA736D">
        <w:rPr>
          <w:iCs/>
        </w:rPr>
        <w:t>peab sisaldama kõikide käesolevas tehnilises kirjelduses (</w:t>
      </w:r>
      <w:r w:rsidR="008E2FEB">
        <w:rPr>
          <w:iCs/>
        </w:rPr>
        <w:t>Lisa 3</w:t>
      </w:r>
      <w:r w:rsidRPr="00AA736D">
        <w:rPr>
          <w:iCs/>
        </w:rPr>
        <w:t>) nimetatud tegevuste maksumusi</w:t>
      </w:r>
      <w:r>
        <w:rPr>
          <w:iCs/>
        </w:rPr>
        <w:t>.</w:t>
      </w:r>
    </w:p>
    <w:p w14:paraId="09CA2D48" w14:textId="08CBB8F0" w:rsidR="00583A86" w:rsidRDefault="009C371F" w:rsidP="00C368DE">
      <w:pPr>
        <w:pStyle w:val="Loendilik"/>
        <w:numPr>
          <w:ilvl w:val="1"/>
          <w:numId w:val="11"/>
        </w:numPr>
        <w:ind w:left="993" w:right="0" w:hanging="567"/>
      </w:pPr>
      <w:r>
        <w:t xml:space="preserve">Hankija aktsepteerib elektrooniliselt esitatavate pakkumuse dokumentide osas kõiki üldlevinud dokumendi formaate, nagu .pdf (Portable Document Format), .rtf (RichTextFormat), .odt (Open Office) ning ka MS Office formaate. </w:t>
      </w:r>
    </w:p>
    <w:p w14:paraId="2C37DB0E" w14:textId="00F8EF3A" w:rsidR="00583A86" w:rsidRDefault="009C371F" w:rsidP="00C368DE">
      <w:pPr>
        <w:pStyle w:val="Loendilik"/>
        <w:numPr>
          <w:ilvl w:val="1"/>
          <w:numId w:val="11"/>
        </w:numPr>
        <w:ind w:left="993" w:right="0" w:hanging="567"/>
      </w:pPr>
      <w:r>
        <w:t xml:space="preserve">Eelkirjeldatud nõuetele mittevastavaid, sh hilinenult esitatud pakkumusi arvesse ei võeta. </w:t>
      </w:r>
    </w:p>
    <w:p w14:paraId="68423901" w14:textId="7A8EF413" w:rsidR="00DB4CEB" w:rsidRDefault="009C371F" w:rsidP="00C368DE">
      <w:pPr>
        <w:pStyle w:val="Loendilik"/>
        <w:numPr>
          <w:ilvl w:val="1"/>
          <w:numId w:val="11"/>
        </w:numPr>
        <w:ind w:left="993" w:right="0" w:hanging="567"/>
      </w:pPr>
      <w:r>
        <w:t xml:space="preserve">Pakkuja kannab kõik pakkumuse ettevalmistamisega ning esitamisega seotud kulud. </w:t>
      </w:r>
    </w:p>
    <w:p w14:paraId="1A1E2AB2" w14:textId="2EE13F3C" w:rsidR="00DB4CEB" w:rsidRDefault="00DB4CEB" w:rsidP="00C368DE">
      <w:pPr>
        <w:pStyle w:val="Loendilik"/>
        <w:numPr>
          <w:ilvl w:val="1"/>
          <w:numId w:val="11"/>
        </w:numPr>
        <w:ind w:left="993" w:right="0" w:hanging="567"/>
      </w:pPr>
      <w:r>
        <w:t xml:space="preserve">Alternatiivsed pakkumused ei ole lubatud. </w:t>
      </w:r>
    </w:p>
    <w:p w14:paraId="7E3A139D" w14:textId="319C55CF" w:rsidR="00583A86" w:rsidRDefault="009C371F" w:rsidP="00C368DE">
      <w:pPr>
        <w:pStyle w:val="Loendilik"/>
        <w:numPr>
          <w:ilvl w:val="1"/>
          <w:numId w:val="11"/>
        </w:numPr>
        <w:ind w:left="993" w:right="0" w:hanging="567"/>
      </w:pPr>
      <w:r>
        <w:t>Hankija koostab pakkumuste hindamise kohta protokolli.</w:t>
      </w:r>
    </w:p>
    <w:p w14:paraId="784B5A25" w14:textId="77777777" w:rsidR="002618EE" w:rsidRDefault="009C371F" w:rsidP="00C368DE">
      <w:pPr>
        <w:pStyle w:val="Loendilik"/>
        <w:numPr>
          <w:ilvl w:val="1"/>
          <w:numId w:val="11"/>
        </w:numPr>
        <w:ind w:left="993" w:right="0" w:hanging="567"/>
      </w:pPr>
      <w:r>
        <w:t>Hankija ei rakenda hankelepingu sõlmimisel ooteaega.</w:t>
      </w:r>
    </w:p>
    <w:p w14:paraId="150F78BB" w14:textId="44E604D5" w:rsidR="00583A86" w:rsidRDefault="002618EE" w:rsidP="00C368DE">
      <w:pPr>
        <w:pStyle w:val="Loendilik"/>
        <w:numPr>
          <w:ilvl w:val="1"/>
          <w:numId w:val="11"/>
        </w:numPr>
        <w:ind w:left="993" w:right="0" w:hanging="567"/>
      </w:pPr>
      <w:r>
        <w:t>Pakkumuse kutse ja selle lisad on esitatud eesti ja inglise keeles. Vaidluse korral prevaleerib eestikeelne tekst.</w:t>
      </w:r>
    </w:p>
    <w:p w14:paraId="0D9759CE" w14:textId="77777777" w:rsidR="00583A86" w:rsidRDefault="009C371F" w:rsidP="00A65BE8">
      <w:pPr>
        <w:spacing w:after="14" w:line="259" w:lineRule="auto"/>
        <w:ind w:left="792" w:right="0" w:firstLine="0"/>
      </w:pPr>
      <w:r>
        <w:t xml:space="preserve"> </w:t>
      </w:r>
    </w:p>
    <w:p w14:paraId="41E35112" w14:textId="1B965C5D" w:rsidR="00583A86" w:rsidRPr="00150297" w:rsidRDefault="009C371F" w:rsidP="00150297">
      <w:pPr>
        <w:pStyle w:val="Loendilik"/>
        <w:numPr>
          <w:ilvl w:val="0"/>
          <w:numId w:val="11"/>
        </w:numPr>
        <w:spacing w:after="0" w:line="259" w:lineRule="auto"/>
        <w:ind w:right="0"/>
        <w:rPr>
          <w:b/>
          <w:iCs/>
        </w:rPr>
      </w:pPr>
      <w:r w:rsidRPr="00150297">
        <w:rPr>
          <w:b/>
          <w:iCs/>
        </w:rPr>
        <w:t>Tehniline kirjeldus</w:t>
      </w:r>
    </w:p>
    <w:p w14:paraId="3B93799A" w14:textId="4754413C" w:rsidR="008E2FEB" w:rsidRDefault="00FA75A8" w:rsidP="00C368DE">
      <w:pPr>
        <w:pStyle w:val="Loendilik"/>
        <w:numPr>
          <w:ilvl w:val="1"/>
          <w:numId w:val="11"/>
        </w:numPr>
        <w:spacing w:after="4" w:line="259" w:lineRule="auto"/>
        <w:ind w:left="993" w:right="0" w:hanging="567"/>
        <w:rPr>
          <w:iCs/>
        </w:rPr>
      </w:pPr>
      <w:r>
        <w:rPr>
          <w:iCs/>
        </w:rPr>
        <w:t>Veebimonitooringusüsteemi</w:t>
      </w:r>
      <w:r w:rsidR="00726CF4">
        <w:rPr>
          <w:iCs/>
        </w:rPr>
        <w:t xml:space="preserve"> t</w:t>
      </w:r>
      <w:r w:rsidR="008E2FEB" w:rsidRPr="008E2FEB">
        <w:rPr>
          <w:iCs/>
        </w:rPr>
        <w:t>ehniline kirjeldus ja funktsionaalsus</w:t>
      </w:r>
      <w:r w:rsidR="008E2FEB">
        <w:rPr>
          <w:iCs/>
        </w:rPr>
        <w:t xml:space="preserve"> on toodud eesti ja inglise keeles lisas 3.</w:t>
      </w:r>
    </w:p>
    <w:p w14:paraId="48A9F15D" w14:textId="7ED52AF5" w:rsidR="00583A86" w:rsidRPr="00A65BE8" w:rsidRDefault="00583A86" w:rsidP="00A65BE8">
      <w:pPr>
        <w:spacing w:after="0" w:line="259" w:lineRule="auto"/>
        <w:ind w:left="0" w:right="0" w:firstLine="0"/>
        <w:rPr>
          <w:iCs/>
        </w:rPr>
      </w:pPr>
    </w:p>
    <w:p w14:paraId="3A9D54C0" w14:textId="2F6D65DD" w:rsidR="00583A86" w:rsidRDefault="009C371F" w:rsidP="00C91897">
      <w:pPr>
        <w:pStyle w:val="Pealkiri1"/>
        <w:numPr>
          <w:ilvl w:val="0"/>
          <w:numId w:val="11"/>
        </w:numPr>
      </w:pPr>
      <w:r>
        <w:t xml:space="preserve">Hankelepingu tingimused </w:t>
      </w:r>
    </w:p>
    <w:p w14:paraId="601ED26A" w14:textId="656A1424" w:rsidR="00C91897" w:rsidRDefault="00C91897" w:rsidP="00C91897">
      <w:pPr>
        <w:pStyle w:val="Loendilik"/>
        <w:numPr>
          <w:ilvl w:val="1"/>
          <w:numId w:val="11"/>
        </w:numPr>
        <w:ind w:left="993" w:right="0" w:hanging="567"/>
        <w:rPr>
          <w:rFonts w:eastAsia="Calibri"/>
          <w:bCs/>
        </w:rPr>
      </w:pPr>
      <w:r>
        <w:rPr>
          <w:rFonts w:eastAsia="Calibri"/>
          <w:bCs/>
        </w:rPr>
        <w:t>Arve esitatakse terve kasutusperioodi eest korraga</w:t>
      </w:r>
      <w:r w:rsidR="00BC6B0E">
        <w:rPr>
          <w:rFonts w:eastAsia="Calibri"/>
          <w:bCs/>
        </w:rPr>
        <w:t xml:space="preserve"> pärast</w:t>
      </w:r>
      <w:r w:rsidR="00F83C68">
        <w:rPr>
          <w:rFonts w:eastAsia="Calibri"/>
          <w:bCs/>
        </w:rPr>
        <w:t xml:space="preserve"> hankelepingu allkirjastamist mõlema poole poolt</w:t>
      </w:r>
      <w:r>
        <w:rPr>
          <w:rFonts w:eastAsia="Calibri"/>
          <w:bCs/>
        </w:rPr>
        <w:t>.</w:t>
      </w:r>
    </w:p>
    <w:p w14:paraId="40C92D08" w14:textId="06715BB1" w:rsidR="00583A86" w:rsidRPr="00C91897" w:rsidRDefault="000C3C7C" w:rsidP="00C91897">
      <w:pPr>
        <w:pStyle w:val="Loendilik"/>
        <w:numPr>
          <w:ilvl w:val="1"/>
          <w:numId w:val="11"/>
        </w:numPr>
        <w:ind w:left="993" w:right="0" w:hanging="567"/>
        <w:rPr>
          <w:rFonts w:eastAsia="Calibri"/>
          <w:bCs/>
        </w:rPr>
      </w:pPr>
      <w:r w:rsidRPr="00C91897">
        <w:rPr>
          <w:rFonts w:eastAsia="Calibri"/>
          <w:bCs/>
        </w:rPr>
        <w:lastRenderedPageBreak/>
        <w:t xml:space="preserve">Arve tasumise tähtaeg </w:t>
      </w:r>
      <w:r w:rsidR="00C91897">
        <w:rPr>
          <w:rFonts w:eastAsia="Calibri"/>
          <w:bCs/>
        </w:rPr>
        <w:t xml:space="preserve">on </w:t>
      </w:r>
      <w:r w:rsidRPr="00C91897">
        <w:rPr>
          <w:rFonts w:eastAsia="Calibri"/>
          <w:bCs/>
        </w:rPr>
        <w:t xml:space="preserve">21 kalendripäeva. Eestis registreeritud ettevõtja esitab arve e-arvena. Välisriigis registreeritud ettevõtja võib PDF-formaadis arve esitada e-kirjaga </w:t>
      </w:r>
      <w:r w:rsidR="007C3EC4">
        <w:rPr>
          <w:rFonts w:eastAsia="Calibri"/>
          <w:bCs/>
        </w:rPr>
        <w:t>h</w:t>
      </w:r>
      <w:r w:rsidR="007C3EC4" w:rsidRPr="00C91897">
        <w:rPr>
          <w:rFonts w:eastAsia="Calibri"/>
          <w:bCs/>
        </w:rPr>
        <w:t xml:space="preserve">ankija </w:t>
      </w:r>
      <w:r w:rsidRPr="00C91897">
        <w:rPr>
          <w:rFonts w:eastAsia="Calibri"/>
          <w:bCs/>
        </w:rPr>
        <w:t>poolt määratud e-posti aadressidel</w:t>
      </w:r>
      <w:r w:rsidR="007C3EC4">
        <w:rPr>
          <w:rFonts w:eastAsia="Calibri"/>
          <w:bCs/>
        </w:rPr>
        <w:t>e</w:t>
      </w:r>
      <w:r w:rsidR="00062ABA">
        <w:rPr>
          <w:rFonts w:eastAsia="Calibri"/>
          <w:bCs/>
        </w:rPr>
        <w:t>, millised sätestatakse sõlmitavas hankelepingus</w:t>
      </w:r>
      <w:r w:rsidRPr="00C91897">
        <w:rPr>
          <w:rFonts w:eastAsia="Calibri"/>
          <w:bCs/>
        </w:rPr>
        <w:t>.</w:t>
      </w:r>
    </w:p>
    <w:p w14:paraId="00D1593D" w14:textId="26609A53" w:rsidR="00583A86" w:rsidRDefault="009C371F" w:rsidP="00C91897">
      <w:pPr>
        <w:pStyle w:val="Loendilik"/>
        <w:numPr>
          <w:ilvl w:val="1"/>
          <w:numId w:val="11"/>
        </w:numPr>
        <w:ind w:left="993" w:right="0" w:hanging="567"/>
      </w:pPr>
      <w:r>
        <w:t xml:space="preserve">Täpsemad lepingu tingimused sisalduvad hankelepingu projektis (Lisa </w:t>
      </w:r>
      <w:r w:rsidR="008E2FEB">
        <w:t>4</w:t>
      </w:r>
      <w:r>
        <w:t xml:space="preserve">). </w:t>
      </w:r>
    </w:p>
    <w:p w14:paraId="7A5917A7" w14:textId="77777777" w:rsidR="00583A86" w:rsidRDefault="009C371F">
      <w:pPr>
        <w:spacing w:after="15" w:line="259" w:lineRule="auto"/>
        <w:ind w:left="792" w:right="0" w:firstLine="0"/>
        <w:jc w:val="left"/>
      </w:pPr>
      <w:r>
        <w:t xml:space="preserve"> </w:t>
      </w:r>
    </w:p>
    <w:p w14:paraId="46ED5F19" w14:textId="6AA49695" w:rsidR="00583A86" w:rsidRDefault="009C371F" w:rsidP="00311F32">
      <w:pPr>
        <w:pStyle w:val="Pealkiri1"/>
        <w:numPr>
          <w:ilvl w:val="0"/>
          <w:numId w:val="11"/>
        </w:numPr>
      </w:pPr>
      <w:r>
        <w:t xml:space="preserve">Pakkumuste hindamine ja pakkumuse edukaks tunnistamine </w:t>
      </w:r>
    </w:p>
    <w:p w14:paraId="1B662A03" w14:textId="5A77D031" w:rsidR="00583A86" w:rsidRDefault="009C371F" w:rsidP="00311F32">
      <w:pPr>
        <w:pStyle w:val="Loendilik"/>
        <w:numPr>
          <w:ilvl w:val="1"/>
          <w:numId w:val="11"/>
        </w:numPr>
        <w:ind w:left="993" w:right="0" w:hanging="567"/>
      </w:pPr>
      <w:r>
        <w:t>Pakkumuste hindamise kriteeriumideks on pakkumuse maksumus (</w:t>
      </w:r>
      <w:r w:rsidR="00112990">
        <w:t>70</w:t>
      </w:r>
      <w:r>
        <w:t xml:space="preserve">%) ja </w:t>
      </w:r>
      <w:r w:rsidR="00112990">
        <w:t>funktsionaalsus</w:t>
      </w:r>
      <w:r w:rsidR="00112990" w:rsidRPr="00311F32">
        <w:rPr>
          <w:iCs/>
        </w:rPr>
        <w:t xml:space="preserve"> (30%</w:t>
      </w:r>
      <w:r w:rsidRPr="00311F32">
        <w:rPr>
          <w:iCs/>
        </w:rPr>
        <w:t>).</w:t>
      </w:r>
      <w:r>
        <w:t xml:space="preserve"> </w:t>
      </w:r>
    </w:p>
    <w:p w14:paraId="50D3F377" w14:textId="77777777" w:rsidR="00311F32" w:rsidRDefault="009C371F" w:rsidP="00311F32">
      <w:pPr>
        <w:pStyle w:val="Loendilik"/>
        <w:numPr>
          <w:ilvl w:val="1"/>
          <w:numId w:val="11"/>
        </w:numPr>
        <w:ind w:left="993" w:right="0" w:hanging="567"/>
      </w:pPr>
      <w:r>
        <w:t>Madalaima maksumusega pakkumusele omistatakse maksimaalsed</w:t>
      </w:r>
      <w:r w:rsidR="00112990">
        <w:t xml:space="preserve"> 70</w:t>
      </w:r>
      <w:r>
        <w:t xml:space="preserve"> väärtuspunkti. Teistele pakkumustele omistatakse väärtuspunktid vastavalt valemile:  </w:t>
      </w:r>
    </w:p>
    <w:p w14:paraId="2867789E" w14:textId="4DBFC421" w:rsidR="00583A86" w:rsidRDefault="00112990" w:rsidP="00311F32">
      <w:pPr>
        <w:pStyle w:val="Loendilik"/>
        <w:ind w:left="993" w:right="0" w:firstLine="0"/>
        <w:rPr>
          <w:i/>
        </w:rPr>
      </w:pPr>
      <w:r w:rsidRPr="00311F32">
        <w:rPr>
          <w:i/>
        </w:rPr>
        <w:t>70</w:t>
      </w:r>
      <w:r w:rsidR="009C371F" w:rsidRPr="00311F32">
        <w:rPr>
          <w:i/>
        </w:rPr>
        <w:t xml:space="preserve"> </w:t>
      </w:r>
      <w:r w:rsidR="00E574AC" w:rsidRPr="00311F32">
        <w:rPr>
          <w:i/>
        </w:rPr>
        <w:t>–</w:t>
      </w:r>
      <w:r w:rsidR="009C371F" w:rsidRPr="00311F32">
        <w:rPr>
          <w:i/>
        </w:rPr>
        <w:t xml:space="preserve"> (</w:t>
      </w:r>
      <w:r w:rsidR="00E574AC" w:rsidRPr="00311F32">
        <w:rPr>
          <w:i/>
        </w:rPr>
        <w:t>„</w:t>
      </w:r>
      <w:r w:rsidR="009C371F" w:rsidRPr="00311F32">
        <w:rPr>
          <w:i/>
        </w:rPr>
        <w:t>pakkumuse väärtus</w:t>
      </w:r>
      <w:r w:rsidR="00E574AC" w:rsidRPr="00311F32">
        <w:rPr>
          <w:i/>
        </w:rPr>
        <w:t>“</w:t>
      </w:r>
      <w:r w:rsidR="009C371F" w:rsidRPr="00311F32">
        <w:rPr>
          <w:i/>
        </w:rPr>
        <w:t xml:space="preserve"> </w:t>
      </w:r>
      <w:r w:rsidR="00E574AC" w:rsidRPr="00311F32">
        <w:rPr>
          <w:i/>
        </w:rPr>
        <w:t>–</w:t>
      </w:r>
      <w:r w:rsidR="009C371F" w:rsidRPr="00311F32">
        <w:rPr>
          <w:i/>
        </w:rPr>
        <w:t xml:space="preserve"> madalaim väärtus</w:t>
      </w:r>
      <w:r w:rsidR="00E574AC" w:rsidRPr="00311F32">
        <w:rPr>
          <w:i/>
        </w:rPr>
        <w:t>“</w:t>
      </w:r>
      <w:r w:rsidR="009C371F" w:rsidRPr="00311F32">
        <w:rPr>
          <w:i/>
        </w:rPr>
        <w:t xml:space="preserve">) / </w:t>
      </w:r>
      <w:r w:rsidR="00E574AC" w:rsidRPr="00311F32">
        <w:rPr>
          <w:i/>
        </w:rPr>
        <w:t>„</w:t>
      </w:r>
      <w:r w:rsidR="009C371F" w:rsidRPr="00311F32">
        <w:rPr>
          <w:i/>
        </w:rPr>
        <w:t>suurim väärtus</w:t>
      </w:r>
      <w:r w:rsidR="00E574AC" w:rsidRPr="00311F32">
        <w:rPr>
          <w:i/>
        </w:rPr>
        <w:t>“</w:t>
      </w:r>
      <w:r w:rsidR="009C371F" w:rsidRPr="00311F32">
        <w:rPr>
          <w:i/>
        </w:rPr>
        <w:t xml:space="preserve"> * </w:t>
      </w:r>
      <w:r w:rsidRPr="00311F32">
        <w:rPr>
          <w:i/>
        </w:rPr>
        <w:t>70</w:t>
      </w:r>
      <w:r w:rsidR="009C371F" w:rsidRPr="00311F32">
        <w:rPr>
          <w:i/>
        </w:rPr>
        <w:t xml:space="preserve"> </w:t>
      </w:r>
    </w:p>
    <w:p w14:paraId="56ED3BD6" w14:textId="77BC2E2B" w:rsidR="004461C9" w:rsidRPr="00E05074" w:rsidRDefault="004461C9" w:rsidP="00B55330">
      <w:pPr>
        <w:pStyle w:val="Loendilik"/>
        <w:numPr>
          <w:ilvl w:val="1"/>
          <w:numId w:val="11"/>
        </w:numPr>
        <w:ind w:left="993" w:right="0" w:hanging="567"/>
        <w:rPr>
          <w:iCs/>
          <w:color w:val="000000" w:themeColor="text1"/>
        </w:rPr>
      </w:pPr>
      <w:r w:rsidRPr="00E05074">
        <w:rPr>
          <w:iCs/>
          <w:color w:val="000000" w:themeColor="text1"/>
        </w:rPr>
        <w:t>Funktsionaalsust hindab Hankija hindamiskomisjon</w:t>
      </w:r>
      <w:r w:rsidR="003A5099">
        <w:rPr>
          <w:iCs/>
          <w:color w:val="000000" w:themeColor="text1"/>
        </w:rPr>
        <w:t xml:space="preserve"> </w:t>
      </w:r>
      <w:r w:rsidR="003A5099" w:rsidRPr="00457832">
        <w:rPr>
          <w:iCs/>
          <w:color w:val="000000" w:themeColor="text1"/>
        </w:rPr>
        <w:t>ühiselt</w:t>
      </w:r>
      <w:r w:rsidRPr="00457832">
        <w:rPr>
          <w:iCs/>
          <w:color w:val="000000" w:themeColor="text1"/>
        </w:rPr>
        <w:t xml:space="preserve"> lisas </w:t>
      </w:r>
      <w:r w:rsidR="00457832" w:rsidRPr="00457832">
        <w:rPr>
          <w:iCs/>
          <w:color w:val="000000" w:themeColor="text1"/>
        </w:rPr>
        <w:t>2</w:t>
      </w:r>
      <w:r w:rsidRPr="00E05074">
        <w:rPr>
          <w:iCs/>
          <w:color w:val="000000" w:themeColor="text1"/>
        </w:rPr>
        <w:t xml:space="preserve"> esitatud andmete alusel.</w:t>
      </w:r>
    </w:p>
    <w:p w14:paraId="250C7E35" w14:textId="72EA063F" w:rsidR="004461C9" w:rsidRPr="00457832" w:rsidRDefault="004461C9" w:rsidP="004461C9">
      <w:pPr>
        <w:ind w:left="295" w:right="0" w:firstLine="698"/>
        <w:rPr>
          <w:color w:val="auto"/>
        </w:rPr>
      </w:pPr>
      <w:r w:rsidRPr="00457832">
        <w:rPr>
          <w:color w:val="auto"/>
        </w:rPr>
        <w:t xml:space="preserve">Hindamiskomisjon omistab funktsionaalsusele punkte alljärgnevalt: </w:t>
      </w:r>
    </w:p>
    <w:tbl>
      <w:tblPr>
        <w:tblStyle w:val="TableGrid"/>
        <w:tblW w:w="8081" w:type="dxa"/>
        <w:tblInd w:w="988" w:type="dxa"/>
        <w:tblCellMar>
          <w:top w:w="54" w:type="dxa"/>
          <w:left w:w="108" w:type="dxa"/>
          <w:right w:w="64" w:type="dxa"/>
        </w:tblCellMar>
        <w:tblLook w:val="04A0" w:firstRow="1" w:lastRow="0" w:firstColumn="1" w:lastColumn="0" w:noHBand="0" w:noVBand="1"/>
      </w:tblPr>
      <w:tblGrid>
        <w:gridCol w:w="2409"/>
        <w:gridCol w:w="5672"/>
      </w:tblGrid>
      <w:tr w:rsidR="004461C9" w:rsidRPr="000309D0" w14:paraId="1FFA79A8" w14:textId="77777777" w:rsidTr="004461C9">
        <w:trPr>
          <w:trHeight w:val="464"/>
        </w:trPr>
        <w:tc>
          <w:tcPr>
            <w:tcW w:w="2409" w:type="dxa"/>
            <w:tcBorders>
              <w:top w:val="single" w:sz="4" w:space="0" w:color="000000"/>
              <w:left w:val="single" w:sz="4" w:space="0" w:color="000000"/>
              <w:bottom w:val="single" w:sz="4" w:space="0" w:color="000000"/>
              <w:right w:val="single" w:sz="4" w:space="0" w:color="000000"/>
            </w:tcBorders>
          </w:tcPr>
          <w:p w14:paraId="4722A5BD" w14:textId="77777777" w:rsidR="004461C9" w:rsidRPr="000309D0" w:rsidRDefault="004461C9" w:rsidP="00410145">
            <w:pPr>
              <w:spacing w:after="0" w:line="259" w:lineRule="auto"/>
              <w:ind w:left="0" w:right="0" w:firstLine="0"/>
              <w:jc w:val="center"/>
            </w:pPr>
            <w:r w:rsidRPr="000309D0">
              <w:rPr>
                <w:b/>
              </w:rPr>
              <w:t>Väärtuspunktide arv</w:t>
            </w:r>
          </w:p>
        </w:tc>
        <w:tc>
          <w:tcPr>
            <w:tcW w:w="5672" w:type="dxa"/>
            <w:tcBorders>
              <w:top w:val="single" w:sz="4" w:space="0" w:color="000000"/>
              <w:left w:val="single" w:sz="4" w:space="0" w:color="000000"/>
              <w:bottom w:val="single" w:sz="4" w:space="0" w:color="000000"/>
              <w:right w:val="single" w:sz="4" w:space="0" w:color="000000"/>
            </w:tcBorders>
          </w:tcPr>
          <w:p w14:paraId="173D267E" w14:textId="77777777" w:rsidR="004461C9" w:rsidRPr="000309D0" w:rsidRDefault="004461C9" w:rsidP="00410145">
            <w:pPr>
              <w:spacing w:after="0" w:line="259" w:lineRule="auto"/>
              <w:ind w:left="0" w:right="0" w:firstLine="0"/>
              <w:jc w:val="left"/>
            </w:pPr>
            <w:r w:rsidRPr="000309D0">
              <w:rPr>
                <w:b/>
              </w:rPr>
              <w:t xml:space="preserve">Põhjendus punktide andmiseks </w:t>
            </w:r>
            <w:r w:rsidRPr="000309D0">
              <w:t xml:space="preserve"> </w:t>
            </w:r>
          </w:p>
        </w:tc>
      </w:tr>
      <w:tr w:rsidR="004461C9" w:rsidRPr="000309D0" w14:paraId="3B7CD87A" w14:textId="77777777" w:rsidTr="004461C9">
        <w:trPr>
          <w:trHeight w:val="286"/>
        </w:trPr>
        <w:tc>
          <w:tcPr>
            <w:tcW w:w="2409" w:type="dxa"/>
            <w:tcBorders>
              <w:top w:val="single" w:sz="4" w:space="0" w:color="000000"/>
              <w:left w:val="single" w:sz="4" w:space="0" w:color="000000"/>
              <w:bottom w:val="single" w:sz="4" w:space="0" w:color="000000"/>
              <w:right w:val="single" w:sz="4" w:space="0" w:color="000000"/>
            </w:tcBorders>
          </w:tcPr>
          <w:p w14:paraId="6719D940" w14:textId="77777777" w:rsidR="004461C9" w:rsidRPr="000309D0" w:rsidRDefault="004461C9" w:rsidP="00410145">
            <w:pPr>
              <w:spacing w:after="0" w:line="259" w:lineRule="auto"/>
              <w:ind w:left="0" w:right="0" w:firstLine="0"/>
              <w:jc w:val="center"/>
            </w:pPr>
            <w:r w:rsidRPr="000309D0">
              <w:t>30</w:t>
            </w:r>
          </w:p>
        </w:tc>
        <w:tc>
          <w:tcPr>
            <w:tcW w:w="5672" w:type="dxa"/>
            <w:tcBorders>
              <w:top w:val="single" w:sz="4" w:space="0" w:color="000000"/>
              <w:left w:val="single" w:sz="4" w:space="0" w:color="000000"/>
              <w:bottom w:val="single" w:sz="4" w:space="0" w:color="000000"/>
              <w:right w:val="single" w:sz="4" w:space="0" w:color="000000"/>
            </w:tcBorders>
          </w:tcPr>
          <w:p w14:paraId="65B0676E" w14:textId="31939F64" w:rsidR="004461C9" w:rsidRPr="000309D0" w:rsidRDefault="004461C9" w:rsidP="00457832">
            <w:pPr>
              <w:spacing w:after="0" w:line="259" w:lineRule="auto"/>
              <w:ind w:left="0" w:right="0" w:firstLine="0"/>
            </w:pPr>
            <w:r>
              <w:t>Komisjonil tekib</w:t>
            </w:r>
            <w:r w:rsidRPr="000309D0">
              <w:t xml:space="preserve"> terviklik ülevaade pakutava </w:t>
            </w:r>
            <w:r w:rsidR="00FA75A8">
              <w:t xml:space="preserve">veebimonitooringusüsteemi </w:t>
            </w:r>
            <w:r w:rsidRPr="000309D0">
              <w:t>ulatusest ja võimalustest.</w:t>
            </w:r>
          </w:p>
        </w:tc>
      </w:tr>
      <w:tr w:rsidR="004461C9" w:rsidRPr="000309D0" w14:paraId="0D6727AF" w14:textId="77777777" w:rsidTr="004461C9">
        <w:trPr>
          <w:trHeight w:val="286"/>
        </w:trPr>
        <w:tc>
          <w:tcPr>
            <w:tcW w:w="2409" w:type="dxa"/>
            <w:tcBorders>
              <w:top w:val="single" w:sz="4" w:space="0" w:color="000000"/>
              <w:left w:val="single" w:sz="4" w:space="0" w:color="000000"/>
              <w:bottom w:val="single" w:sz="4" w:space="0" w:color="000000"/>
              <w:right w:val="single" w:sz="4" w:space="0" w:color="000000"/>
            </w:tcBorders>
          </w:tcPr>
          <w:p w14:paraId="3F89A147" w14:textId="77777777" w:rsidR="004461C9" w:rsidRPr="000309D0" w:rsidRDefault="004461C9" w:rsidP="00410145">
            <w:pPr>
              <w:spacing w:after="0" w:line="259" w:lineRule="auto"/>
              <w:ind w:left="0" w:right="0" w:firstLine="0"/>
              <w:jc w:val="center"/>
            </w:pPr>
            <w:r w:rsidRPr="000309D0">
              <w:t>0</w:t>
            </w:r>
          </w:p>
        </w:tc>
        <w:tc>
          <w:tcPr>
            <w:tcW w:w="5672" w:type="dxa"/>
            <w:tcBorders>
              <w:top w:val="single" w:sz="4" w:space="0" w:color="000000"/>
              <w:left w:val="single" w:sz="4" w:space="0" w:color="000000"/>
              <w:bottom w:val="single" w:sz="4" w:space="0" w:color="000000"/>
              <w:right w:val="single" w:sz="4" w:space="0" w:color="000000"/>
            </w:tcBorders>
          </w:tcPr>
          <w:p w14:paraId="1DFCFC48" w14:textId="74351E76" w:rsidR="004461C9" w:rsidRPr="000309D0" w:rsidRDefault="004461C9" w:rsidP="00410145">
            <w:pPr>
              <w:spacing w:after="0" w:line="259" w:lineRule="auto"/>
              <w:ind w:left="0" w:right="0" w:firstLine="0"/>
              <w:jc w:val="left"/>
            </w:pPr>
            <w:r>
              <w:t xml:space="preserve">Komisjonil tekkinud ülevaade pakutava </w:t>
            </w:r>
            <w:r w:rsidR="00FA75A8">
              <w:t>veebimonitooringusüsteemi</w:t>
            </w:r>
            <w:r>
              <w:t xml:space="preserve"> ulatusest ja võimalustest jäi puudulikuks. </w:t>
            </w:r>
            <w:r w:rsidRPr="00966C82">
              <w:t xml:space="preserve">Esitatud </w:t>
            </w:r>
            <w:r w:rsidR="0044048E" w:rsidRPr="00590933">
              <w:t xml:space="preserve">märksõnapõhise otsingu ja kasutaja töölaua </w:t>
            </w:r>
            <w:r w:rsidRPr="00966C82">
              <w:t>näidis</w:t>
            </w:r>
            <w:r w:rsidR="0044048E" w:rsidRPr="00590933">
              <w:t>ed</w:t>
            </w:r>
            <w:r w:rsidRPr="00966C82">
              <w:t xml:space="preserve"> </w:t>
            </w:r>
            <w:r w:rsidR="00B371AE">
              <w:t xml:space="preserve">ja kirjeldused </w:t>
            </w:r>
            <w:r w:rsidRPr="00966C82">
              <w:t>ei olnud komisjonile üheselt mõistetav</w:t>
            </w:r>
            <w:r w:rsidR="0044048E" w:rsidRPr="00590933">
              <w:t>ad, ei olnud lihtsa kujunduse või intuitiivse kasutajaloogikaga.</w:t>
            </w:r>
            <w:r w:rsidRPr="00966C82">
              <w:t xml:space="preserve"> </w:t>
            </w:r>
          </w:p>
        </w:tc>
      </w:tr>
    </w:tbl>
    <w:p w14:paraId="008F10F7" w14:textId="77777777" w:rsidR="00583A86" w:rsidRPr="00544531" w:rsidRDefault="009C371F">
      <w:pPr>
        <w:spacing w:after="6" w:line="259" w:lineRule="auto"/>
        <w:ind w:left="792" w:right="0" w:firstLine="0"/>
        <w:jc w:val="left"/>
        <w:rPr>
          <w:strike/>
        </w:rPr>
      </w:pPr>
      <w:r w:rsidRPr="00544531">
        <w:rPr>
          <w:strike/>
        </w:rPr>
        <w:t xml:space="preserve"> </w:t>
      </w:r>
    </w:p>
    <w:p w14:paraId="0B8A7D9E" w14:textId="34DE7D65" w:rsidR="00583A86" w:rsidRDefault="009C371F" w:rsidP="00FF2606">
      <w:pPr>
        <w:pStyle w:val="Loendilik"/>
        <w:numPr>
          <w:ilvl w:val="1"/>
          <w:numId w:val="11"/>
        </w:numPr>
        <w:ind w:left="993" w:right="0" w:hanging="567"/>
      </w:pPr>
      <w:r>
        <w:t xml:space="preserve">Punktides 4.2-4.3 saavutatud punktisummad summeeritakse ja </w:t>
      </w:r>
      <w:r w:rsidR="00A33CF1">
        <w:t>H</w:t>
      </w:r>
      <w:r>
        <w:t>ankija tunnistab edukaks eeltoodud kriteeriumide alusel enim väärtuspunkte kokku kogunud pakkumuse. Hindamistäpsus on kaks kohta pärast koma.</w:t>
      </w:r>
    </w:p>
    <w:p w14:paraId="10C142E4" w14:textId="202C0C6E" w:rsidR="00583A86" w:rsidRDefault="009C371F" w:rsidP="00FF2606">
      <w:pPr>
        <w:pStyle w:val="Loendilik"/>
        <w:numPr>
          <w:ilvl w:val="1"/>
          <w:numId w:val="11"/>
        </w:numPr>
        <w:ind w:left="993" w:right="0" w:hanging="567"/>
      </w:pPr>
      <w:r>
        <w:t xml:space="preserve">Juhul, kui kaks või enam pakkumust on võrdsete punktisummadega, selgitatakse edukas pakkumus välja liisuheitmise teel. Liisuheitmise korra määrab </w:t>
      </w:r>
      <w:r w:rsidR="00A33CF1">
        <w:t>H</w:t>
      </w:r>
      <w:r>
        <w:t>ankija. Võrdväärse pakkumuse esitanud pakkujatel on õigus viibida liisuheitmise juures</w:t>
      </w:r>
      <w:r w:rsidR="00FA75A8">
        <w:t>, kuid nende puudumine ei takista Hankijal kokkulepitud ajal liisku heita</w:t>
      </w:r>
      <w:r>
        <w:t xml:space="preserve">. Liisuheitmise korrast, ajast ja kohast teavitab </w:t>
      </w:r>
      <w:r w:rsidR="00A33CF1">
        <w:t>H</w:t>
      </w:r>
      <w:r>
        <w:t>ankija pakkujaid e-</w:t>
      </w:r>
      <w:r w:rsidR="00FA75A8">
        <w:t>kirja</w:t>
      </w:r>
      <w:r>
        <w:t xml:space="preserve"> teel pakkuja poolt esitatud kontaktandmetel.</w:t>
      </w:r>
    </w:p>
    <w:p w14:paraId="612FE51D" w14:textId="54E59EC4" w:rsidR="00583A86" w:rsidRDefault="00583A86">
      <w:pPr>
        <w:spacing w:after="0" w:line="259" w:lineRule="auto"/>
        <w:ind w:left="0" w:right="0" w:firstLine="0"/>
        <w:jc w:val="left"/>
      </w:pPr>
    </w:p>
    <w:p w14:paraId="057583E6" w14:textId="0808B7FF" w:rsidR="00583A86" w:rsidRDefault="009C371F">
      <w:pPr>
        <w:spacing w:after="0" w:line="259" w:lineRule="auto"/>
        <w:ind w:left="-5" w:right="0"/>
        <w:jc w:val="left"/>
      </w:pPr>
      <w:r>
        <w:rPr>
          <w:b/>
        </w:rPr>
        <w:t>Pakkumuse esitamisega kinnitab pakkuja, et ta:</w:t>
      </w:r>
    </w:p>
    <w:p w14:paraId="0851B36C" w14:textId="77777777" w:rsidR="00583A86" w:rsidRDefault="009C371F">
      <w:pPr>
        <w:numPr>
          <w:ilvl w:val="0"/>
          <w:numId w:val="1"/>
        </w:numPr>
        <w:ind w:right="0" w:hanging="360"/>
      </w:pPr>
      <w:r>
        <w:t xml:space="preserve">nõustub kõikide pakkumuse kutses esitatud tingimustega, sh hankelepingu projektis sätestatud lepingu tingimustega; </w:t>
      </w:r>
    </w:p>
    <w:p w14:paraId="415CF7CC" w14:textId="53D1491A" w:rsidR="00583A86" w:rsidRDefault="009C371F">
      <w:pPr>
        <w:numPr>
          <w:ilvl w:val="0"/>
          <w:numId w:val="1"/>
        </w:numPr>
        <w:spacing w:after="94"/>
        <w:ind w:right="0" w:hanging="360"/>
      </w:pPr>
      <w:r>
        <w:t>pakkumus on jõus vähemal</w:t>
      </w:r>
      <w:r w:rsidR="00D66E62">
        <w:t>t</w:t>
      </w:r>
      <w:r w:rsidR="00EC6D13">
        <w:t xml:space="preserve"> </w:t>
      </w:r>
      <w:r w:rsidR="009739BB">
        <w:t>20</w:t>
      </w:r>
      <w:r>
        <w:t xml:space="preserve"> päeva pakkumuste esitamise tähtpäevast arvates.</w:t>
      </w:r>
    </w:p>
    <w:p w14:paraId="6BE837AF" w14:textId="77777777" w:rsidR="00457832" w:rsidRDefault="00457832">
      <w:pPr>
        <w:ind w:right="0"/>
      </w:pPr>
    </w:p>
    <w:p w14:paraId="269B247A" w14:textId="749873C0" w:rsidR="00583A86" w:rsidRDefault="009C371F">
      <w:pPr>
        <w:ind w:right="0"/>
      </w:pPr>
      <w:r>
        <w:t xml:space="preserve">Hankija kontaktisik, kes jagab selgitusi hankega seotud küsimustes, on </w:t>
      </w:r>
      <w:r w:rsidR="00F83C68">
        <w:t>Helen Rohtla</w:t>
      </w:r>
      <w:r w:rsidR="00EC6D13">
        <w:t xml:space="preserve"> (e-posti aadress</w:t>
      </w:r>
      <w:r w:rsidR="00F83C68">
        <w:t xml:space="preserve"> helen.rohtla@ttja.ee</w:t>
      </w:r>
      <w:r w:rsidR="00EC6D13">
        <w:t xml:space="preserve">). </w:t>
      </w:r>
      <w:r>
        <w:t>Hankijal ei ole kohustust vastata hankega seotud küsimustele, mis on esitatud hiljem kui 2 tööpäeva enne pakkumuste esitamise tähtaja saabumist.</w:t>
      </w:r>
    </w:p>
    <w:p w14:paraId="28D32E38" w14:textId="179D8DB4" w:rsidR="00583A86" w:rsidRDefault="00583A86">
      <w:pPr>
        <w:spacing w:after="0" w:line="259" w:lineRule="auto"/>
        <w:ind w:left="0" w:right="0" w:firstLine="0"/>
        <w:jc w:val="left"/>
      </w:pPr>
    </w:p>
    <w:p w14:paraId="48A0E246" w14:textId="3EB17C71" w:rsidR="00583A86" w:rsidRDefault="009C371F" w:rsidP="002260CB">
      <w:pPr>
        <w:pStyle w:val="Pealkiri1"/>
        <w:ind w:left="-5"/>
        <w:jc w:val="both"/>
      </w:pPr>
      <w:r>
        <w:t xml:space="preserve">Pakkumuse palume esitada hiljemalt </w:t>
      </w:r>
      <w:r w:rsidR="00611B0B">
        <w:t>22</w:t>
      </w:r>
      <w:r w:rsidR="00F83C68">
        <w:t>.12</w:t>
      </w:r>
      <w:r w:rsidR="00457832" w:rsidRPr="00457832">
        <w:t>.</w:t>
      </w:r>
      <w:r w:rsidR="00D335C6" w:rsidRPr="00457832">
        <w:t>202</w:t>
      </w:r>
      <w:r w:rsidR="00283CD6">
        <w:t>5</w:t>
      </w:r>
      <w:r w:rsidRPr="00457832">
        <w:t xml:space="preserve"> kl </w:t>
      </w:r>
      <w:r w:rsidR="00D335C6" w:rsidRPr="00457832">
        <w:t>1</w:t>
      </w:r>
      <w:r w:rsidR="00611B0B">
        <w:t>5</w:t>
      </w:r>
      <w:r w:rsidR="00F63B30" w:rsidRPr="00457832">
        <w:t>.</w:t>
      </w:r>
      <w:r w:rsidR="00D335C6" w:rsidRPr="00457832">
        <w:t>00</w:t>
      </w:r>
      <w:r w:rsidRPr="00457832">
        <w:t xml:space="preserve"> </w:t>
      </w:r>
      <w:r w:rsidR="009739BB" w:rsidRPr="009739BB">
        <w:t xml:space="preserve">(UTC+02:00) </w:t>
      </w:r>
      <w:r w:rsidRPr="00457832">
        <w:t>e-posti aadressile</w:t>
      </w:r>
      <w:r>
        <w:t xml:space="preserve"> </w:t>
      </w:r>
      <w:r w:rsidR="00F83C68">
        <w:t>helen.rohtla</w:t>
      </w:r>
      <w:r w:rsidR="00F83C68" w:rsidRPr="00590933">
        <w:t>@ttja.ee</w:t>
      </w:r>
      <w:r w:rsidR="00EC6D13">
        <w:t>.</w:t>
      </w:r>
    </w:p>
    <w:p w14:paraId="5F157FA7" w14:textId="77777777" w:rsidR="00583A86" w:rsidRDefault="009C371F">
      <w:pPr>
        <w:spacing w:after="0" w:line="259" w:lineRule="auto"/>
        <w:ind w:left="0" w:right="0" w:firstLine="0"/>
        <w:jc w:val="left"/>
      </w:pPr>
      <w:r>
        <w:rPr>
          <w:b/>
        </w:rPr>
        <w:t xml:space="preserve"> </w:t>
      </w:r>
    </w:p>
    <w:p w14:paraId="56CF1CE8" w14:textId="2CFC3A6B" w:rsidR="00583A86" w:rsidRDefault="009C371F">
      <w:pPr>
        <w:spacing w:after="0" w:line="259" w:lineRule="auto"/>
        <w:ind w:left="0" w:right="0" w:firstLine="0"/>
        <w:jc w:val="left"/>
      </w:pPr>
      <w:r>
        <w:rPr>
          <w:u w:val="single" w:color="000000"/>
        </w:rPr>
        <w:t>TTJA jätab endale õiguse lükata tagasi kõik esitatud pakkumused sõltumata põhjus(t)est.</w:t>
      </w:r>
    </w:p>
    <w:p w14:paraId="6294D80E" w14:textId="77777777" w:rsidR="00583A86" w:rsidRDefault="009C371F">
      <w:pPr>
        <w:spacing w:after="0" w:line="259" w:lineRule="auto"/>
        <w:ind w:left="0" w:right="0" w:firstLine="0"/>
        <w:jc w:val="left"/>
        <w:rPr>
          <w:b/>
        </w:rPr>
      </w:pPr>
      <w:r>
        <w:rPr>
          <w:b/>
        </w:rPr>
        <w:lastRenderedPageBreak/>
        <w:t xml:space="preserve"> </w:t>
      </w:r>
    </w:p>
    <w:p w14:paraId="523B814D" w14:textId="3830590B" w:rsidR="00637BD9" w:rsidRDefault="00D66E62">
      <w:pPr>
        <w:spacing w:after="160" w:line="259" w:lineRule="auto"/>
        <w:ind w:left="0" w:right="0" w:firstLine="0"/>
        <w:jc w:val="left"/>
        <w:rPr>
          <w:b/>
          <w:color w:val="auto"/>
        </w:rPr>
      </w:pPr>
      <w:r w:rsidRPr="00D66E62">
        <w:t>Vaidlustuse esitamisele riigihankes, mille eeldatav maksumus on väiksem kui RHS § 14 lõikes 1 sätestatud lihthanke piirmäär, kohaldatakse lihthankemenetluses vaidlustuse esitamisele sätestatud tähtaegu (RHS § 189 lg 4</w:t>
      </w:r>
      <w:r w:rsidRPr="00590933">
        <w:rPr>
          <w:vertAlign w:val="superscript"/>
        </w:rPr>
        <w:t>1</w:t>
      </w:r>
      <w:r w:rsidRPr="00D66E62">
        <w:t>).</w:t>
      </w:r>
    </w:p>
    <w:p w14:paraId="663F9ABB" w14:textId="60870F63" w:rsidR="002260CB" w:rsidRPr="004D435F" w:rsidRDefault="009C371F">
      <w:pPr>
        <w:spacing w:after="0" w:line="259" w:lineRule="auto"/>
        <w:ind w:left="-5" w:right="6839"/>
        <w:jc w:val="left"/>
        <w:rPr>
          <w:b/>
          <w:color w:val="auto"/>
        </w:rPr>
      </w:pPr>
      <w:r w:rsidRPr="004D435F">
        <w:rPr>
          <w:b/>
          <w:color w:val="auto"/>
        </w:rPr>
        <w:t>Lisa</w:t>
      </w:r>
      <w:r w:rsidR="009F7317" w:rsidRPr="004D435F">
        <w:rPr>
          <w:b/>
          <w:color w:val="auto"/>
        </w:rPr>
        <w:t>d</w:t>
      </w:r>
      <w:r w:rsidRPr="004D435F">
        <w:rPr>
          <w:b/>
          <w:color w:val="auto"/>
        </w:rPr>
        <w:t xml:space="preserve"> </w:t>
      </w:r>
    </w:p>
    <w:p w14:paraId="033180E2" w14:textId="17D97083" w:rsidR="002260CB" w:rsidRPr="004D435F" w:rsidRDefault="009C371F" w:rsidP="002260CB">
      <w:pPr>
        <w:spacing w:after="0" w:line="259" w:lineRule="auto"/>
        <w:ind w:left="-5"/>
        <w:jc w:val="left"/>
        <w:rPr>
          <w:color w:val="auto"/>
        </w:rPr>
      </w:pPr>
      <w:r w:rsidRPr="004D435F">
        <w:rPr>
          <w:color w:val="auto"/>
        </w:rPr>
        <w:t xml:space="preserve">Lisa 1 – </w:t>
      </w:r>
      <w:bookmarkStart w:id="2" w:name="_Hlk172119081"/>
      <w:r w:rsidR="005B5760" w:rsidRPr="004D435F">
        <w:rPr>
          <w:color w:val="auto"/>
        </w:rPr>
        <w:t xml:space="preserve">Pakkumuse kutse tõlge inglise keelde </w:t>
      </w:r>
      <w:bookmarkEnd w:id="2"/>
    </w:p>
    <w:p w14:paraId="6BD147DB" w14:textId="694E19CB" w:rsidR="00653C40" w:rsidRDefault="00653C40" w:rsidP="002260CB">
      <w:pPr>
        <w:spacing w:after="0" w:line="259" w:lineRule="auto"/>
        <w:ind w:left="-5"/>
        <w:jc w:val="left"/>
        <w:rPr>
          <w:color w:val="auto"/>
        </w:rPr>
      </w:pPr>
      <w:r w:rsidRPr="004D435F">
        <w:rPr>
          <w:color w:val="auto"/>
        </w:rPr>
        <w:t xml:space="preserve">Lisa 2 – </w:t>
      </w:r>
      <w:r w:rsidR="005B5760" w:rsidRPr="004D435F">
        <w:rPr>
          <w:color w:val="auto"/>
        </w:rPr>
        <w:t>Pakutava andmebaasi vastavuse kinnitus tehnilisele kirjeldusele ja funktsionaalsusele</w:t>
      </w:r>
    </w:p>
    <w:p w14:paraId="7AE34ECE" w14:textId="7440782E" w:rsidR="008E2FEB" w:rsidRPr="004D435F" w:rsidRDefault="008E2FEB" w:rsidP="002260CB">
      <w:pPr>
        <w:spacing w:after="0" w:line="259" w:lineRule="auto"/>
        <w:ind w:left="-5"/>
        <w:jc w:val="left"/>
        <w:rPr>
          <w:color w:val="auto"/>
        </w:rPr>
      </w:pPr>
      <w:r>
        <w:rPr>
          <w:color w:val="auto"/>
        </w:rPr>
        <w:t>Lisa 3 – Andmebaasi tehniline kirjeldus ja funktsionaalsus</w:t>
      </w:r>
    </w:p>
    <w:p w14:paraId="1D2A11E1" w14:textId="31D4B9DD" w:rsidR="001259DE" w:rsidRPr="004D435F" w:rsidRDefault="00B53971" w:rsidP="00590933">
      <w:pPr>
        <w:spacing w:after="0" w:line="259" w:lineRule="auto"/>
        <w:ind w:left="-5"/>
        <w:jc w:val="left"/>
        <w:rPr>
          <w:color w:val="auto"/>
        </w:rPr>
      </w:pPr>
      <w:r w:rsidRPr="004D435F">
        <w:rPr>
          <w:color w:val="auto"/>
        </w:rPr>
        <w:t xml:space="preserve">Lisa </w:t>
      </w:r>
      <w:r w:rsidR="008E2FEB">
        <w:rPr>
          <w:color w:val="auto"/>
        </w:rPr>
        <w:t>4</w:t>
      </w:r>
      <w:r w:rsidRPr="004D435F">
        <w:rPr>
          <w:color w:val="auto"/>
        </w:rPr>
        <w:t xml:space="preserve"> – </w:t>
      </w:r>
      <w:r w:rsidR="005B5760" w:rsidRPr="004D435F">
        <w:rPr>
          <w:color w:val="auto"/>
        </w:rPr>
        <w:t xml:space="preserve"> Hankelepingu projekt</w:t>
      </w:r>
    </w:p>
    <w:p w14:paraId="30015444" w14:textId="77777777" w:rsidR="00A703D1" w:rsidRDefault="00653C40" w:rsidP="00A703D1">
      <w:pPr>
        <w:ind w:right="0"/>
        <w:jc w:val="right"/>
      </w:pPr>
      <w:r>
        <w:br w:type="page"/>
      </w:r>
      <w:r w:rsidR="00A703D1">
        <w:lastRenderedPageBreak/>
        <w:t>LISA 1 / ANNEX 1</w:t>
      </w:r>
    </w:p>
    <w:p w14:paraId="576C21E4" w14:textId="7DB6BE41" w:rsidR="00D92D6A" w:rsidRDefault="00D92D6A" w:rsidP="00D92D6A">
      <w:pPr>
        <w:ind w:right="0"/>
        <w:jc w:val="right"/>
      </w:pPr>
      <w:r>
        <w:t>Hange „</w:t>
      </w:r>
      <w:r w:rsidR="00966C82" w:rsidRPr="00966C82">
        <w:t>Veebimonitooringusüsteemi kasutusõiguse soetamine ja seadistamine</w:t>
      </w:r>
      <w:r>
        <w:t xml:space="preserve">“ / </w:t>
      </w:r>
      <w:r w:rsidRPr="00785B35">
        <w:rPr>
          <w:lang w:val="en-GB"/>
        </w:rPr>
        <w:t>Procurement</w:t>
      </w:r>
      <w:r>
        <w:rPr>
          <w:lang w:val="en-GB"/>
        </w:rPr>
        <w:t xml:space="preserve"> </w:t>
      </w:r>
      <w:r w:rsidRPr="00590933">
        <w:rPr>
          <w:lang w:val="en-GB"/>
        </w:rPr>
        <w:t>“</w:t>
      </w:r>
      <w:r w:rsidR="00966C82" w:rsidRPr="00590933">
        <w:rPr>
          <w:lang w:val="en-GB"/>
        </w:rPr>
        <w:t>Acquisition of the right of use for a web monitoring system and its configuration</w:t>
      </w:r>
      <w:r w:rsidRPr="00590933">
        <w:rPr>
          <w:lang w:val="en-GB"/>
        </w:rPr>
        <w:t>“</w:t>
      </w:r>
    </w:p>
    <w:p w14:paraId="32622654" w14:textId="2AA3639F" w:rsidR="00A703D1" w:rsidRDefault="00A703D1" w:rsidP="00A703D1">
      <w:pPr>
        <w:spacing w:after="0" w:line="259" w:lineRule="auto"/>
        <w:ind w:left="0" w:right="0" w:firstLine="0"/>
        <w:jc w:val="right"/>
      </w:pPr>
      <w:r>
        <w:t>Pakkumuse kutse tõlge inglise keelde</w:t>
      </w:r>
      <w:r w:rsidR="00D92D6A">
        <w:t xml:space="preserve"> / </w:t>
      </w:r>
      <w:r w:rsidR="00D92D6A" w:rsidRPr="00974426">
        <w:rPr>
          <w:color w:val="auto"/>
          <w:lang w:val="en-GB"/>
        </w:rPr>
        <w:t xml:space="preserve">Translation of the </w:t>
      </w:r>
      <w:r w:rsidR="00D92D6A">
        <w:rPr>
          <w:color w:val="auto"/>
          <w:lang w:val="en-GB"/>
        </w:rPr>
        <w:t>call for</w:t>
      </w:r>
      <w:r w:rsidR="00D92D6A" w:rsidRPr="00974426">
        <w:rPr>
          <w:color w:val="auto"/>
          <w:lang w:val="en-GB"/>
        </w:rPr>
        <w:t xml:space="preserve"> tender into English</w:t>
      </w:r>
    </w:p>
    <w:p w14:paraId="7A653EA7" w14:textId="77777777" w:rsidR="00A703D1" w:rsidRDefault="00A703D1" w:rsidP="00A703D1">
      <w:pPr>
        <w:spacing w:after="0" w:line="259" w:lineRule="auto"/>
        <w:ind w:left="0" w:right="0" w:firstLine="0"/>
        <w:jc w:val="left"/>
      </w:pPr>
    </w:p>
    <w:p w14:paraId="345A5909" w14:textId="76227EE2" w:rsidR="00A703D1" w:rsidRPr="00590933" w:rsidRDefault="00A703D1" w:rsidP="00A703D1">
      <w:pPr>
        <w:pStyle w:val="Pealkiri1"/>
        <w:ind w:left="-5"/>
        <w:jc w:val="both"/>
        <w:rPr>
          <w:i/>
          <w:iCs/>
          <w:color w:val="auto"/>
          <w:lang w:val="en-GB"/>
        </w:rPr>
      </w:pPr>
      <w:r w:rsidRPr="008D54BE">
        <w:rPr>
          <w:lang w:val="en-GB"/>
        </w:rPr>
        <w:t>CALL FOR TENDER</w:t>
      </w:r>
    </w:p>
    <w:p w14:paraId="09168BEF" w14:textId="66ADCAC8" w:rsidR="00A703D1" w:rsidRPr="008D54BE" w:rsidRDefault="00A703D1" w:rsidP="00A703D1">
      <w:pPr>
        <w:pStyle w:val="Pealkiri1"/>
        <w:ind w:left="-5"/>
        <w:jc w:val="both"/>
        <w:rPr>
          <w:lang w:val="en-GB"/>
        </w:rPr>
      </w:pPr>
      <w:r w:rsidRPr="008D54BE">
        <w:rPr>
          <w:lang w:val="en-GB"/>
        </w:rPr>
        <w:t xml:space="preserve">Procurement name: </w:t>
      </w:r>
      <w:r w:rsidR="00966C82" w:rsidRPr="00966C82">
        <w:rPr>
          <w:lang w:val="en-GB"/>
        </w:rPr>
        <w:t>Acquisition of the right of use for a web monitoring system and its configuration</w:t>
      </w:r>
      <w:r w:rsidR="00966C82">
        <w:rPr>
          <w:lang w:val="en-GB"/>
        </w:rPr>
        <w:t xml:space="preserve">. </w:t>
      </w:r>
    </w:p>
    <w:p w14:paraId="41030540" w14:textId="77777777" w:rsidR="00A703D1" w:rsidRPr="008D54BE" w:rsidRDefault="00A703D1" w:rsidP="00A703D1">
      <w:pPr>
        <w:ind w:right="0"/>
        <w:rPr>
          <w:lang w:val="en-GB"/>
        </w:rPr>
      </w:pPr>
    </w:p>
    <w:p w14:paraId="2BED2F49" w14:textId="77777777" w:rsidR="00A703D1" w:rsidRPr="008D54BE" w:rsidRDefault="00A703D1" w:rsidP="00A703D1">
      <w:pPr>
        <w:ind w:right="0"/>
        <w:rPr>
          <w:lang w:val="en-GB"/>
        </w:rPr>
      </w:pPr>
      <w:r w:rsidRPr="008D54BE">
        <w:rPr>
          <w:lang w:val="en-GB"/>
        </w:rPr>
        <w:t xml:space="preserve">The Consumer Protection and Technical Regulatory Authority (hereinafter referred to as the „Contracting Authority“ or „CPTRA“) asks to submit a tender in accordance with the conditions set out in this call for tender. </w:t>
      </w:r>
    </w:p>
    <w:p w14:paraId="3C192936" w14:textId="77777777" w:rsidR="004672DE" w:rsidRPr="008D54BE" w:rsidRDefault="004672DE" w:rsidP="00A703D1">
      <w:pPr>
        <w:spacing w:after="0" w:line="259" w:lineRule="auto"/>
        <w:ind w:left="0" w:right="0" w:firstLine="0"/>
        <w:rPr>
          <w:lang w:val="en-GB"/>
        </w:rPr>
      </w:pPr>
    </w:p>
    <w:p w14:paraId="680F852D" w14:textId="070F2FE2" w:rsidR="00966C82" w:rsidRPr="00590933" w:rsidRDefault="00966C82" w:rsidP="00966C82">
      <w:pPr>
        <w:spacing w:after="0" w:line="259" w:lineRule="auto"/>
        <w:ind w:left="0" w:right="0" w:firstLine="0"/>
        <w:rPr>
          <w:iCs/>
          <w:lang w:val="en-GB"/>
        </w:rPr>
      </w:pPr>
      <w:r w:rsidRPr="00590933">
        <w:rPr>
          <w:iCs/>
          <w:lang w:val="en-GB"/>
        </w:rPr>
        <w:t xml:space="preserve">The CPTRA exercises state supervision over compliance with the requirements stipulated in the Information Society Services Act and the Media Services Act. </w:t>
      </w:r>
      <w:r w:rsidR="00611B0B">
        <w:rPr>
          <w:iCs/>
          <w:lang w:val="en-GB"/>
        </w:rPr>
        <w:t xml:space="preserve">The CPTRA </w:t>
      </w:r>
      <w:r w:rsidR="00611B0B" w:rsidRPr="00611B0B">
        <w:rPr>
          <w:iCs/>
          <w:lang w:val="en-GB"/>
        </w:rPr>
        <w:t>fulfills the role of Digital Services Coordinator (Digital Services Act) and independent media regulator (Audiovisual Media Services Directive) in Estonia.</w:t>
      </w:r>
      <w:r w:rsidR="00611B0B">
        <w:rPr>
          <w:iCs/>
          <w:lang w:val="en-GB"/>
        </w:rPr>
        <w:t xml:space="preserve"> </w:t>
      </w:r>
      <w:r w:rsidRPr="00590933">
        <w:rPr>
          <w:iCs/>
          <w:lang w:val="en-GB"/>
        </w:rPr>
        <w:t>It is within the competence of the CPTRA to verify that information disseminated via information society services is not used to incite hatred, violence, or discrimination based on nationality, ethnic origin, language, religion, or other circumstances specified in Section 12 of the Constitution of the Republic of Estonia, nor to incite war or justify war crimes.</w:t>
      </w:r>
    </w:p>
    <w:p w14:paraId="0B86E07B" w14:textId="77777777" w:rsidR="00966C82" w:rsidRPr="00590933" w:rsidRDefault="00966C82" w:rsidP="00966C82">
      <w:pPr>
        <w:spacing w:after="0" w:line="259" w:lineRule="auto"/>
        <w:ind w:left="0" w:right="0" w:firstLine="0"/>
        <w:rPr>
          <w:iCs/>
          <w:lang w:val="en-GB"/>
        </w:rPr>
      </w:pPr>
    </w:p>
    <w:p w14:paraId="3675007E" w14:textId="71F6C5A4" w:rsidR="00966C82" w:rsidRPr="00590933" w:rsidRDefault="00966C82" w:rsidP="00966C82">
      <w:pPr>
        <w:spacing w:after="0" w:line="259" w:lineRule="auto"/>
        <w:ind w:left="0" w:right="0" w:firstLine="0"/>
        <w:rPr>
          <w:iCs/>
          <w:lang w:val="en-GB"/>
        </w:rPr>
      </w:pPr>
      <w:r w:rsidRPr="00590933">
        <w:rPr>
          <w:iCs/>
          <w:lang w:val="en-GB"/>
        </w:rPr>
        <w:t>The objective of the procurement is to acquire the right of use for a web monitoring system necessary for the CPTRA to perform its duties, and to configure said system, enabling the monitoring of information published in information society services based on keywords, content type, language, source, hashtags, and other similar attributes.</w:t>
      </w:r>
    </w:p>
    <w:p w14:paraId="7EF8C919" w14:textId="77777777" w:rsidR="00966C82" w:rsidRDefault="00966C82" w:rsidP="004672DE">
      <w:pPr>
        <w:spacing w:after="0" w:line="259" w:lineRule="auto"/>
        <w:ind w:left="0" w:right="0" w:firstLine="0"/>
        <w:rPr>
          <w:iCs/>
          <w:lang w:val="en-GB"/>
        </w:rPr>
      </w:pPr>
    </w:p>
    <w:p w14:paraId="20079961" w14:textId="27425221" w:rsidR="00A703D1" w:rsidRPr="008D54BE" w:rsidRDefault="00A703D1" w:rsidP="00590933">
      <w:pPr>
        <w:spacing w:after="0" w:line="259" w:lineRule="auto"/>
        <w:ind w:left="0" w:right="0" w:firstLine="0"/>
        <w:rPr>
          <w:lang w:val="en-GB"/>
        </w:rPr>
      </w:pPr>
      <w:r w:rsidRPr="008D54BE">
        <w:rPr>
          <w:b/>
          <w:lang w:val="en-GB"/>
        </w:rPr>
        <w:t xml:space="preserve">Estimated cost of the procurement: </w:t>
      </w:r>
      <w:r w:rsidRPr="008D54BE">
        <w:rPr>
          <w:bCs/>
          <w:lang w:val="en-GB"/>
        </w:rPr>
        <w:t xml:space="preserve">EUR </w:t>
      </w:r>
      <w:r w:rsidR="004672DE" w:rsidRPr="008D54BE">
        <w:rPr>
          <w:bCs/>
          <w:lang w:val="en-GB"/>
        </w:rPr>
        <w:t>2</w:t>
      </w:r>
      <w:r w:rsidR="00340BB4">
        <w:rPr>
          <w:bCs/>
          <w:lang w:val="en-GB"/>
        </w:rPr>
        <w:t>9</w:t>
      </w:r>
      <w:r w:rsidR="004672DE" w:rsidRPr="008D54BE">
        <w:rPr>
          <w:bCs/>
          <w:lang w:val="en-GB"/>
        </w:rPr>
        <w:t xml:space="preserve"> </w:t>
      </w:r>
      <w:r w:rsidR="00EF7BE5">
        <w:rPr>
          <w:bCs/>
          <w:lang w:val="en-GB"/>
        </w:rPr>
        <w:t>0</w:t>
      </w:r>
      <w:r w:rsidR="004672DE" w:rsidRPr="008D54BE">
        <w:rPr>
          <w:bCs/>
          <w:lang w:val="en-GB"/>
        </w:rPr>
        <w:t>00</w:t>
      </w:r>
      <w:r w:rsidRPr="008D54BE">
        <w:rPr>
          <w:bCs/>
          <w:lang w:val="en-GB"/>
        </w:rPr>
        <w:t xml:space="preserve"> </w:t>
      </w:r>
      <w:r w:rsidRPr="008D54BE">
        <w:rPr>
          <w:lang w:val="en-GB"/>
        </w:rPr>
        <w:t xml:space="preserve">(excluding VAT) </w:t>
      </w:r>
    </w:p>
    <w:p w14:paraId="5E93DB27" w14:textId="77777777" w:rsidR="00A703D1" w:rsidRPr="008D54BE" w:rsidRDefault="00A703D1" w:rsidP="00A703D1">
      <w:pPr>
        <w:spacing w:after="0" w:line="259" w:lineRule="auto"/>
        <w:ind w:left="0" w:right="0" w:firstLine="0"/>
        <w:jc w:val="left"/>
        <w:rPr>
          <w:lang w:val="en-GB"/>
        </w:rPr>
      </w:pPr>
      <w:r w:rsidRPr="008D54BE">
        <w:rPr>
          <w:lang w:val="en-GB"/>
        </w:rPr>
        <w:t xml:space="preserve"> </w:t>
      </w:r>
    </w:p>
    <w:p w14:paraId="694B5ADB" w14:textId="2882CC12" w:rsidR="00A703D1" w:rsidRPr="008D54BE" w:rsidRDefault="00A703D1" w:rsidP="004672DE">
      <w:pPr>
        <w:pStyle w:val="Pealkiri1"/>
        <w:numPr>
          <w:ilvl w:val="0"/>
          <w:numId w:val="14"/>
        </w:numPr>
        <w:rPr>
          <w:lang w:val="en-GB"/>
        </w:rPr>
      </w:pPr>
      <w:r w:rsidRPr="008D54BE">
        <w:rPr>
          <w:lang w:val="en-GB"/>
        </w:rPr>
        <w:t>Formalisation and submission of a tender</w:t>
      </w:r>
    </w:p>
    <w:p w14:paraId="593407A2" w14:textId="77777777" w:rsidR="004672DE" w:rsidRPr="008D54BE" w:rsidRDefault="004672DE" w:rsidP="004672DE">
      <w:pPr>
        <w:pStyle w:val="Loendilik"/>
        <w:numPr>
          <w:ilvl w:val="1"/>
          <w:numId w:val="14"/>
        </w:numPr>
        <w:ind w:left="993" w:right="0" w:hanging="567"/>
        <w:rPr>
          <w:color w:val="000000" w:themeColor="text1"/>
          <w:lang w:val="en-GB"/>
        </w:rPr>
      </w:pPr>
      <w:r w:rsidRPr="008D54BE">
        <w:rPr>
          <w:color w:val="000000" w:themeColor="text1"/>
          <w:lang w:val="en-GB"/>
        </w:rPr>
        <w:t>The tender may be submitted in Estonian or English.</w:t>
      </w:r>
    </w:p>
    <w:p w14:paraId="3C15A8D8" w14:textId="6FEA79FC" w:rsidR="004672DE" w:rsidRPr="008D54BE" w:rsidRDefault="004672DE" w:rsidP="004672DE">
      <w:pPr>
        <w:pStyle w:val="Loendilik"/>
        <w:numPr>
          <w:ilvl w:val="1"/>
          <w:numId w:val="14"/>
        </w:numPr>
        <w:ind w:left="993" w:right="0" w:hanging="567"/>
        <w:rPr>
          <w:color w:val="000000" w:themeColor="text1"/>
          <w:lang w:val="en-GB"/>
        </w:rPr>
      </w:pPr>
      <w:r w:rsidRPr="008D54BE">
        <w:rPr>
          <w:color w:val="000000" w:themeColor="text1"/>
          <w:lang w:val="en-GB"/>
        </w:rPr>
        <w:t>Together with the tender, the tenderer shall provide a declaration of compliance with the technical specifications and functionality of the proposed database using the form set out in Annex 2</w:t>
      </w:r>
      <w:r w:rsidR="00EF7BE5">
        <w:rPr>
          <w:color w:val="000000" w:themeColor="text1"/>
          <w:lang w:val="en-GB"/>
        </w:rPr>
        <w:t xml:space="preserve"> in Estonian or English</w:t>
      </w:r>
      <w:r w:rsidRPr="008D54BE">
        <w:rPr>
          <w:color w:val="000000" w:themeColor="text1"/>
          <w:lang w:val="en-GB"/>
        </w:rPr>
        <w:t>.</w:t>
      </w:r>
    </w:p>
    <w:p w14:paraId="25FB3BE4" w14:textId="77777777" w:rsidR="004672DE" w:rsidRPr="008D54BE" w:rsidRDefault="004672DE" w:rsidP="004672DE">
      <w:pPr>
        <w:pStyle w:val="Loendilik"/>
        <w:numPr>
          <w:ilvl w:val="1"/>
          <w:numId w:val="14"/>
        </w:numPr>
        <w:ind w:left="993" w:right="0" w:hanging="567"/>
        <w:rPr>
          <w:lang w:val="en-GB"/>
        </w:rPr>
      </w:pPr>
      <w:r w:rsidRPr="008D54BE">
        <w:rPr>
          <w:lang w:val="en-GB"/>
        </w:rPr>
        <w:t>The price of the tender must be submitted without VAT.</w:t>
      </w:r>
    </w:p>
    <w:p w14:paraId="32355001" w14:textId="237C59CF" w:rsidR="004672DE" w:rsidRPr="008D54BE" w:rsidRDefault="004672DE" w:rsidP="004672DE">
      <w:pPr>
        <w:pStyle w:val="Loendilik"/>
        <w:numPr>
          <w:ilvl w:val="1"/>
          <w:numId w:val="14"/>
        </w:numPr>
        <w:ind w:left="993" w:right="0" w:hanging="567"/>
        <w:rPr>
          <w:lang w:val="en-GB"/>
        </w:rPr>
      </w:pPr>
      <w:r w:rsidRPr="008D54BE">
        <w:rPr>
          <w:lang w:val="en-GB"/>
        </w:rPr>
        <w:t xml:space="preserve">The price of the tender </w:t>
      </w:r>
      <w:r w:rsidRPr="008D54BE">
        <w:rPr>
          <w:iCs/>
          <w:lang w:val="en-GB"/>
        </w:rPr>
        <w:t>must include the costs of all the activities specified in this specification (clause 2).</w:t>
      </w:r>
    </w:p>
    <w:p w14:paraId="424AF65A" w14:textId="0D899C73" w:rsidR="004672DE" w:rsidRPr="008D54BE" w:rsidRDefault="004672DE" w:rsidP="004672DE">
      <w:pPr>
        <w:pStyle w:val="Loendilik"/>
        <w:numPr>
          <w:ilvl w:val="1"/>
          <w:numId w:val="14"/>
        </w:numPr>
        <w:ind w:left="993" w:right="0" w:hanging="567"/>
        <w:rPr>
          <w:lang w:val="en-GB"/>
        </w:rPr>
      </w:pPr>
      <w:r w:rsidRPr="008D54BE">
        <w:rPr>
          <w:lang w:val="en-GB"/>
        </w:rPr>
        <w:t xml:space="preserve">The </w:t>
      </w:r>
      <w:r w:rsidR="00974426">
        <w:rPr>
          <w:lang w:val="en-GB"/>
        </w:rPr>
        <w:t>C</w:t>
      </w:r>
      <w:r w:rsidRPr="008D54BE">
        <w:rPr>
          <w:lang w:val="en-GB"/>
        </w:rPr>
        <w:t xml:space="preserve">ontracting </w:t>
      </w:r>
      <w:r w:rsidR="00974426">
        <w:rPr>
          <w:lang w:val="en-GB"/>
        </w:rPr>
        <w:t>A</w:t>
      </w:r>
      <w:r w:rsidRPr="008D54BE">
        <w:rPr>
          <w:lang w:val="en-GB"/>
        </w:rPr>
        <w:t xml:space="preserve">uthority accepts all ubiquitous document formats, such .pdf as Portable Document Format, .rtf (RichTextFormat), .odt (Open Office) as well as MS Office formats, for electronic tender documents. </w:t>
      </w:r>
    </w:p>
    <w:p w14:paraId="50D9B92E" w14:textId="77777777" w:rsidR="004672DE" w:rsidRPr="008D54BE" w:rsidRDefault="004672DE" w:rsidP="004672DE">
      <w:pPr>
        <w:pStyle w:val="Loendilik"/>
        <w:numPr>
          <w:ilvl w:val="1"/>
          <w:numId w:val="14"/>
        </w:numPr>
        <w:ind w:left="993" w:right="0" w:hanging="567"/>
        <w:rPr>
          <w:lang w:val="en-GB"/>
        </w:rPr>
      </w:pPr>
      <w:r w:rsidRPr="008D54BE">
        <w:rPr>
          <w:lang w:val="en-GB"/>
        </w:rPr>
        <w:t xml:space="preserve">Tenders that do not meet the requirements described above, including those submitted late, will not be taken into account. </w:t>
      </w:r>
    </w:p>
    <w:p w14:paraId="4BA1F56C" w14:textId="77777777" w:rsidR="004672DE" w:rsidRPr="008D54BE" w:rsidRDefault="004672DE" w:rsidP="004672DE">
      <w:pPr>
        <w:pStyle w:val="Loendilik"/>
        <w:numPr>
          <w:ilvl w:val="1"/>
          <w:numId w:val="14"/>
        </w:numPr>
        <w:ind w:left="993" w:right="0" w:hanging="567"/>
        <w:rPr>
          <w:lang w:val="en-GB"/>
        </w:rPr>
      </w:pPr>
      <w:r w:rsidRPr="008D54BE">
        <w:rPr>
          <w:lang w:val="en-GB"/>
        </w:rPr>
        <w:t xml:space="preserve">The tenderer shall bear all costs relating to the preparation and submission of the tender. </w:t>
      </w:r>
    </w:p>
    <w:p w14:paraId="1F5116AA" w14:textId="77777777" w:rsidR="004672DE" w:rsidRPr="008D54BE" w:rsidRDefault="004672DE" w:rsidP="004672DE">
      <w:pPr>
        <w:pStyle w:val="Loendilik"/>
        <w:numPr>
          <w:ilvl w:val="1"/>
          <w:numId w:val="14"/>
        </w:numPr>
        <w:ind w:left="993" w:right="0" w:hanging="567"/>
        <w:rPr>
          <w:lang w:val="en-GB"/>
        </w:rPr>
      </w:pPr>
      <w:r w:rsidRPr="008D54BE">
        <w:rPr>
          <w:lang w:val="en-GB"/>
        </w:rPr>
        <w:t xml:space="preserve">Alternative offers shall not be allowed. </w:t>
      </w:r>
    </w:p>
    <w:p w14:paraId="04DF36DA" w14:textId="4E1CC265" w:rsidR="004672DE" w:rsidRPr="008D54BE" w:rsidRDefault="004672DE" w:rsidP="004672DE">
      <w:pPr>
        <w:pStyle w:val="Loendilik"/>
        <w:numPr>
          <w:ilvl w:val="1"/>
          <w:numId w:val="14"/>
        </w:numPr>
        <w:ind w:left="993" w:right="0" w:hanging="567"/>
        <w:rPr>
          <w:lang w:val="en-GB"/>
        </w:rPr>
      </w:pPr>
      <w:r w:rsidRPr="008D54BE">
        <w:rPr>
          <w:lang w:val="en-GB"/>
        </w:rPr>
        <w:t xml:space="preserve">The </w:t>
      </w:r>
      <w:r w:rsidR="00974426">
        <w:rPr>
          <w:lang w:val="en-GB"/>
        </w:rPr>
        <w:t>C</w:t>
      </w:r>
      <w:r w:rsidRPr="008D54BE">
        <w:rPr>
          <w:lang w:val="en-GB"/>
        </w:rPr>
        <w:t xml:space="preserve">ontracting </w:t>
      </w:r>
      <w:r w:rsidR="00974426">
        <w:rPr>
          <w:lang w:val="en-GB"/>
        </w:rPr>
        <w:t>A</w:t>
      </w:r>
      <w:r w:rsidRPr="008D54BE">
        <w:rPr>
          <w:lang w:val="en-GB"/>
        </w:rPr>
        <w:t xml:space="preserve">uthority shall draw up a record of the evaluation of the tenders.  </w:t>
      </w:r>
    </w:p>
    <w:p w14:paraId="0247FA6D" w14:textId="5D9DD2EE" w:rsidR="004672DE" w:rsidRPr="008D54BE" w:rsidRDefault="004672DE" w:rsidP="004672DE">
      <w:pPr>
        <w:pStyle w:val="Loendilik"/>
        <w:numPr>
          <w:ilvl w:val="1"/>
          <w:numId w:val="14"/>
        </w:numPr>
        <w:ind w:left="993" w:right="0" w:hanging="567"/>
        <w:rPr>
          <w:lang w:val="en-GB"/>
        </w:rPr>
      </w:pPr>
      <w:r w:rsidRPr="008D54BE">
        <w:rPr>
          <w:lang w:val="en-GB"/>
        </w:rPr>
        <w:t xml:space="preserve">The </w:t>
      </w:r>
      <w:r w:rsidR="00974426">
        <w:rPr>
          <w:lang w:val="en-GB"/>
        </w:rPr>
        <w:t>C</w:t>
      </w:r>
      <w:r w:rsidRPr="008D54BE">
        <w:rPr>
          <w:lang w:val="en-GB"/>
        </w:rPr>
        <w:t xml:space="preserve">ontracting </w:t>
      </w:r>
      <w:r w:rsidR="00974426">
        <w:rPr>
          <w:lang w:val="en-GB"/>
        </w:rPr>
        <w:t>Au</w:t>
      </w:r>
      <w:r w:rsidRPr="008D54BE">
        <w:rPr>
          <w:lang w:val="en-GB"/>
        </w:rPr>
        <w:t>thority shall not apply a standstill period for the award of the contract.</w:t>
      </w:r>
    </w:p>
    <w:p w14:paraId="1E5EE80A" w14:textId="09C08B3D" w:rsidR="004672DE" w:rsidRPr="008D54BE" w:rsidRDefault="004672DE" w:rsidP="004672DE">
      <w:pPr>
        <w:pStyle w:val="Loendilik"/>
        <w:numPr>
          <w:ilvl w:val="1"/>
          <w:numId w:val="14"/>
        </w:numPr>
        <w:ind w:left="993" w:right="0" w:hanging="567"/>
        <w:rPr>
          <w:lang w:val="en-GB"/>
        </w:rPr>
      </w:pPr>
      <w:r w:rsidRPr="008D54BE">
        <w:rPr>
          <w:lang w:val="en-GB"/>
        </w:rPr>
        <w:t>The invitation to tender and its annexes are submitted in Estonian and English. In the event of a dispute, the Estonian text shall prevail.</w:t>
      </w:r>
    </w:p>
    <w:p w14:paraId="521C06EF" w14:textId="77777777" w:rsidR="00A703D1" w:rsidRPr="008D54BE" w:rsidRDefault="00A703D1" w:rsidP="00A703D1">
      <w:pPr>
        <w:spacing w:after="14" w:line="259" w:lineRule="auto"/>
        <w:ind w:left="792" w:right="0" w:firstLine="0"/>
        <w:rPr>
          <w:lang w:val="en-GB"/>
        </w:rPr>
      </w:pPr>
      <w:r w:rsidRPr="008D54BE">
        <w:rPr>
          <w:lang w:val="en-GB"/>
        </w:rPr>
        <w:lastRenderedPageBreak/>
        <w:t xml:space="preserve"> </w:t>
      </w:r>
    </w:p>
    <w:p w14:paraId="1842D2AC" w14:textId="30617221" w:rsidR="00A703D1" w:rsidRPr="008D54BE" w:rsidRDefault="00A703D1" w:rsidP="004672DE">
      <w:pPr>
        <w:pStyle w:val="Loendilik"/>
        <w:numPr>
          <w:ilvl w:val="0"/>
          <w:numId w:val="14"/>
        </w:numPr>
        <w:spacing w:after="0" w:line="259" w:lineRule="auto"/>
        <w:ind w:right="0"/>
        <w:rPr>
          <w:iCs/>
          <w:lang w:val="en-GB"/>
        </w:rPr>
      </w:pPr>
      <w:r w:rsidRPr="008D54BE">
        <w:rPr>
          <w:b/>
          <w:iCs/>
          <w:lang w:val="en-GB"/>
        </w:rPr>
        <w:t xml:space="preserve">Technical specifications </w:t>
      </w:r>
    </w:p>
    <w:p w14:paraId="0D2525F9" w14:textId="22D66C5E" w:rsidR="004672DE" w:rsidRPr="00EF7BE5" w:rsidRDefault="00726CF4" w:rsidP="00EF7BE5">
      <w:pPr>
        <w:pStyle w:val="Loendilik"/>
        <w:numPr>
          <w:ilvl w:val="1"/>
          <w:numId w:val="14"/>
        </w:numPr>
        <w:spacing w:after="4" w:line="259" w:lineRule="auto"/>
        <w:ind w:left="993" w:right="0" w:hanging="567"/>
        <w:rPr>
          <w:iCs/>
          <w:lang w:val="en-GB"/>
        </w:rPr>
      </w:pPr>
      <w:r>
        <w:rPr>
          <w:color w:val="000000" w:themeColor="text1"/>
          <w:lang w:val="en-GB"/>
        </w:rPr>
        <w:t>T</w:t>
      </w:r>
      <w:r w:rsidRPr="008D54BE">
        <w:rPr>
          <w:color w:val="000000" w:themeColor="text1"/>
          <w:lang w:val="en-GB"/>
        </w:rPr>
        <w:t xml:space="preserve">he technical specifications and functionality </w:t>
      </w:r>
      <w:r>
        <w:rPr>
          <w:color w:val="000000" w:themeColor="text1"/>
          <w:lang w:val="en-GB"/>
        </w:rPr>
        <w:t xml:space="preserve">of the </w:t>
      </w:r>
      <w:r w:rsidR="00966C82">
        <w:rPr>
          <w:color w:val="000000" w:themeColor="text1"/>
          <w:lang w:val="en-GB"/>
        </w:rPr>
        <w:t xml:space="preserve">Web </w:t>
      </w:r>
      <w:r w:rsidR="003900A9">
        <w:rPr>
          <w:color w:val="000000" w:themeColor="text1"/>
          <w:lang w:val="en-GB"/>
        </w:rPr>
        <w:t>M</w:t>
      </w:r>
      <w:r w:rsidR="00966C82">
        <w:rPr>
          <w:color w:val="000000" w:themeColor="text1"/>
          <w:lang w:val="en-GB"/>
        </w:rPr>
        <w:t xml:space="preserve">onitoring </w:t>
      </w:r>
      <w:r w:rsidR="003900A9">
        <w:rPr>
          <w:color w:val="000000" w:themeColor="text1"/>
          <w:lang w:val="en-GB"/>
        </w:rPr>
        <w:t>S</w:t>
      </w:r>
      <w:r w:rsidR="00966C82">
        <w:rPr>
          <w:color w:val="000000" w:themeColor="text1"/>
          <w:lang w:val="en-GB"/>
        </w:rPr>
        <w:t>ystem</w:t>
      </w:r>
      <w:r w:rsidR="003900A9">
        <w:rPr>
          <w:color w:val="000000" w:themeColor="text1"/>
          <w:lang w:val="en-GB"/>
        </w:rPr>
        <w:t xml:space="preserve"> </w:t>
      </w:r>
      <w:r>
        <w:rPr>
          <w:color w:val="000000" w:themeColor="text1"/>
          <w:lang w:val="en-GB"/>
        </w:rPr>
        <w:t>are provided in Estonian and English in Annex 3.</w:t>
      </w:r>
    </w:p>
    <w:p w14:paraId="6154F098" w14:textId="77777777" w:rsidR="004672DE" w:rsidRPr="00974426" w:rsidRDefault="004672DE" w:rsidP="00A703D1">
      <w:pPr>
        <w:spacing w:after="4" w:line="259" w:lineRule="auto"/>
        <w:ind w:left="851" w:right="0" w:hanging="425"/>
        <w:rPr>
          <w:iCs/>
          <w:lang w:val="en-GB"/>
        </w:rPr>
      </w:pPr>
    </w:p>
    <w:p w14:paraId="5077F1E4" w14:textId="5413DF70" w:rsidR="00A703D1" w:rsidRPr="00974426" w:rsidRDefault="00A703D1" w:rsidP="008D54BE">
      <w:pPr>
        <w:pStyle w:val="Pealkiri1"/>
        <w:numPr>
          <w:ilvl w:val="0"/>
          <w:numId w:val="14"/>
        </w:numPr>
        <w:rPr>
          <w:lang w:val="en-GB"/>
        </w:rPr>
      </w:pPr>
      <w:r w:rsidRPr="00974426">
        <w:rPr>
          <w:lang w:val="en-GB"/>
        </w:rPr>
        <w:t xml:space="preserve">Terms and conditions of the contract </w:t>
      </w:r>
    </w:p>
    <w:p w14:paraId="6BA7E9ED" w14:textId="170816EF" w:rsidR="008D54BE" w:rsidRPr="00974426" w:rsidRDefault="008D54BE" w:rsidP="008D54BE">
      <w:pPr>
        <w:pStyle w:val="Loendilik"/>
        <w:numPr>
          <w:ilvl w:val="1"/>
          <w:numId w:val="14"/>
        </w:numPr>
        <w:ind w:left="993" w:right="0" w:hanging="567"/>
        <w:rPr>
          <w:rFonts w:eastAsia="Calibri"/>
          <w:bCs/>
          <w:lang w:val="en-GB"/>
        </w:rPr>
      </w:pPr>
      <w:r w:rsidRPr="00974426">
        <w:rPr>
          <w:rFonts w:eastAsia="Calibri"/>
          <w:bCs/>
          <w:lang w:val="en-GB"/>
        </w:rPr>
        <w:t xml:space="preserve">The invoice is issued for the entire period of use at once after the </w:t>
      </w:r>
      <w:r w:rsidR="00966C82">
        <w:rPr>
          <w:rFonts w:eastAsia="Calibri"/>
          <w:bCs/>
          <w:lang w:val="en-GB"/>
        </w:rPr>
        <w:t>p</w:t>
      </w:r>
      <w:r w:rsidR="00966C82" w:rsidRPr="00966C82">
        <w:rPr>
          <w:rFonts w:eastAsia="Calibri"/>
          <w:bCs/>
          <w:lang w:val="en-GB"/>
        </w:rPr>
        <w:t>rocurement contract has been signed by both parties.</w:t>
      </w:r>
      <w:r w:rsidRPr="00974426">
        <w:rPr>
          <w:rFonts w:eastAsia="Calibri"/>
          <w:bCs/>
          <w:lang w:val="en-GB"/>
        </w:rPr>
        <w:t>.</w:t>
      </w:r>
    </w:p>
    <w:p w14:paraId="23C62050" w14:textId="2B31A43E" w:rsidR="008D54BE" w:rsidRPr="00974426" w:rsidRDefault="008D54BE" w:rsidP="008D54BE">
      <w:pPr>
        <w:pStyle w:val="Loendilik"/>
        <w:numPr>
          <w:ilvl w:val="1"/>
          <w:numId w:val="14"/>
        </w:numPr>
        <w:ind w:left="993" w:right="0" w:hanging="567"/>
        <w:rPr>
          <w:rFonts w:eastAsia="Calibri"/>
          <w:bCs/>
          <w:lang w:val="en-GB"/>
        </w:rPr>
      </w:pPr>
      <w:r w:rsidRPr="00974426">
        <w:rPr>
          <w:rFonts w:eastAsia="Calibri"/>
          <w:bCs/>
          <w:lang w:val="en-GB"/>
        </w:rPr>
        <w:t>The deadline for payment of the invoice is 21 calendar days. A company registered in Estonia submits an invoice as an e-invoice. An economic operator registered in a foreign country may submit an invoice in PDF format by email to the email addresses specified by the Contracting Authority, which are set out in the procurement contract to be awarded.</w:t>
      </w:r>
    </w:p>
    <w:p w14:paraId="02D2503E" w14:textId="77777777" w:rsidR="008D54BE" w:rsidRPr="00974426" w:rsidRDefault="008D54BE" w:rsidP="008D54BE">
      <w:pPr>
        <w:pStyle w:val="Loendilik"/>
        <w:numPr>
          <w:ilvl w:val="1"/>
          <w:numId w:val="14"/>
        </w:numPr>
        <w:ind w:left="993" w:right="0" w:hanging="567"/>
        <w:rPr>
          <w:lang w:val="en-GB"/>
        </w:rPr>
      </w:pPr>
      <w:r w:rsidRPr="00974426">
        <w:rPr>
          <w:lang w:val="en-GB"/>
        </w:rPr>
        <w:t xml:space="preserve">More detailed contract terms and conditions are contained in the draft contract (Annex 3). </w:t>
      </w:r>
    </w:p>
    <w:p w14:paraId="53E7E23F" w14:textId="77777777" w:rsidR="008D54BE" w:rsidRDefault="008D54BE" w:rsidP="00A703D1">
      <w:pPr>
        <w:ind w:left="777" w:right="0" w:hanging="432"/>
        <w:rPr>
          <w:lang w:val="en-GB"/>
        </w:rPr>
      </w:pPr>
    </w:p>
    <w:p w14:paraId="5707C30A" w14:textId="58DDE24A" w:rsidR="00A703D1" w:rsidRPr="00974426" w:rsidRDefault="00A703D1" w:rsidP="008D54BE">
      <w:pPr>
        <w:pStyle w:val="Pealkiri1"/>
        <w:numPr>
          <w:ilvl w:val="0"/>
          <w:numId w:val="14"/>
        </w:numPr>
        <w:rPr>
          <w:lang w:val="en-GB"/>
        </w:rPr>
      </w:pPr>
      <w:r w:rsidRPr="00974426">
        <w:rPr>
          <w:lang w:val="en-GB"/>
        </w:rPr>
        <w:t xml:space="preserve">Evaluation of tenders and award of the tender </w:t>
      </w:r>
    </w:p>
    <w:p w14:paraId="53D0124D" w14:textId="77777777" w:rsidR="008D54BE" w:rsidRPr="00974426" w:rsidRDefault="008D54BE" w:rsidP="008D54BE">
      <w:pPr>
        <w:pStyle w:val="Loendilik"/>
        <w:numPr>
          <w:ilvl w:val="1"/>
          <w:numId w:val="14"/>
        </w:numPr>
        <w:ind w:left="993" w:right="0" w:hanging="567"/>
        <w:rPr>
          <w:lang w:val="en-GB"/>
        </w:rPr>
      </w:pPr>
      <w:r w:rsidRPr="00974426">
        <w:rPr>
          <w:lang w:val="en-GB"/>
        </w:rPr>
        <w:t>The award criteria are the cost of the tender (70%) and the functionality</w:t>
      </w:r>
      <w:r w:rsidRPr="00974426">
        <w:rPr>
          <w:iCs/>
          <w:lang w:val="en-GB"/>
        </w:rPr>
        <w:t xml:space="preserve"> (30%). </w:t>
      </w:r>
    </w:p>
    <w:p w14:paraId="705B094F" w14:textId="77777777" w:rsidR="008D54BE" w:rsidRPr="00974426" w:rsidRDefault="008D54BE" w:rsidP="008D54BE">
      <w:pPr>
        <w:pStyle w:val="Loendilik"/>
        <w:numPr>
          <w:ilvl w:val="1"/>
          <w:numId w:val="14"/>
        </w:numPr>
        <w:ind w:left="993" w:right="0" w:hanging="567"/>
        <w:rPr>
          <w:lang w:val="en-GB"/>
        </w:rPr>
      </w:pPr>
      <w:r w:rsidRPr="00974426">
        <w:rPr>
          <w:lang w:val="en-GB"/>
        </w:rPr>
        <w:t xml:space="preserve">The tender with the lowest cost will be awarded a maximum of 70 value points. Other tenders are awarded value points according to the formula:  </w:t>
      </w:r>
    </w:p>
    <w:p w14:paraId="6F8106C5" w14:textId="77777777" w:rsidR="008D54BE" w:rsidRPr="00974426" w:rsidRDefault="008D54BE" w:rsidP="00974426">
      <w:pPr>
        <w:pStyle w:val="Loendilik"/>
        <w:ind w:left="993" w:right="0" w:firstLine="0"/>
        <w:rPr>
          <w:i/>
          <w:lang w:val="en-GB"/>
        </w:rPr>
      </w:pPr>
      <w:r w:rsidRPr="00974426">
        <w:rPr>
          <w:i/>
          <w:lang w:val="en-GB"/>
        </w:rPr>
        <w:t xml:space="preserve">70 – ("tender value" – lowest value") / "highest value" * 70 </w:t>
      </w:r>
    </w:p>
    <w:p w14:paraId="43EDA322" w14:textId="77777777" w:rsidR="008D54BE" w:rsidRPr="00974426" w:rsidRDefault="008D54BE" w:rsidP="008D54BE">
      <w:pPr>
        <w:pStyle w:val="Loendilik"/>
        <w:numPr>
          <w:ilvl w:val="1"/>
          <w:numId w:val="14"/>
        </w:numPr>
        <w:ind w:left="993" w:right="0" w:hanging="567"/>
        <w:rPr>
          <w:iCs/>
          <w:color w:val="000000" w:themeColor="text1"/>
          <w:lang w:val="en-GB"/>
        </w:rPr>
      </w:pPr>
      <w:r w:rsidRPr="00974426">
        <w:rPr>
          <w:iCs/>
          <w:color w:val="000000" w:themeColor="text1"/>
          <w:lang w:val="en-GB"/>
        </w:rPr>
        <w:t>The functionality shall be assessed jointly by the Contracting Authority's evaluation committee on the basis of the data set out in Annex 2.</w:t>
      </w:r>
    </w:p>
    <w:p w14:paraId="227B442C" w14:textId="0E983B07" w:rsidR="008D54BE" w:rsidRPr="00974426" w:rsidRDefault="008D54BE" w:rsidP="00974426">
      <w:pPr>
        <w:ind w:left="993" w:right="0" w:firstLine="0"/>
        <w:rPr>
          <w:color w:val="auto"/>
          <w:lang w:val="en-GB"/>
        </w:rPr>
      </w:pPr>
      <w:r w:rsidRPr="00974426">
        <w:rPr>
          <w:color w:val="auto"/>
          <w:lang w:val="en-GB"/>
        </w:rPr>
        <w:t>The evaluation committee assigns points to functionality as follows:</w:t>
      </w:r>
    </w:p>
    <w:tbl>
      <w:tblPr>
        <w:tblStyle w:val="TableGrid"/>
        <w:tblW w:w="8081" w:type="dxa"/>
        <w:tblInd w:w="988" w:type="dxa"/>
        <w:tblCellMar>
          <w:top w:w="54" w:type="dxa"/>
          <w:left w:w="108" w:type="dxa"/>
          <w:right w:w="64" w:type="dxa"/>
        </w:tblCellMar>
        <w:tblLook w:val="04A0" w:firstRow="1" w:lastRow="0" w:firstColumn="1" w:lastColumn="0" w:noHBand="0" w:noVBand="1"/>
      </w:tblPr>
      <w:tblGrid>
        <w:gridCol w:w="1559"/>
        <w:gridCol w:w="6522"/>
      </w:tblGrid>
      <w:tr w:rsidR="00974426" w:rsidRPr="00974426" w14:paraId="23224B58" w14:textId="77777777" w:rsidTr="00974426">
        <w:trPr>
          <w:trHeight w:val="464"/>
        </w:trPr>
        <w:tc>
          <w:tcPr>
            <w:tcW w:w="1559" w:type="dxa"/>
            <w:tcBorders>
              <w:top w:val="single" w:sz="4" w:space="0" w:color="000000"/>
              <w:left w:val="single" w:sz="4" w:space="0" w:color="000000"/>
              <w:bottom w:val="single" w:sz="4" w:space="0" w:color="000000"/>
              <w:right w:val="single" w:sz="4" w:space="0" w:color="000000"/>
            </w:tcBorders>
          </w:tcPr>
          <w:p w14:paraId="0BDB2E3D" w14:textId="77777777" w:rsidR="00974426" w:rsidRPr="00974426" w:rsidRDefault="00974426" w:rsidP="00DA2F54">
            <w:pPr>
              <w:spacing w:after="0" w:line="259" w:lineRule="auto"/>
              <w:ind w:left="0" w:right="0" w:firstLine="0"/>
              <w:jc w:val="center"/>
              <w:rPr>
                <w:lang w:val="en-GB"/>
              </w:rPr>
            </w:pPr>
            <w:r w:rsidRPr="00974426">
              <w:rPr>
                <w:b/>
                <w:lang w:val="en-GB"/>
              </w:rPr>
              <w:t>Number of Value Points</w:t>
            </w:r>
          </w:p>
        </w:tc>
        <w:tc>
          <w:tcPr>
            <w:tcW w:w="6522" w:type="dxa"/>
            <w:tcBorders>
              <w:top w:val="single" w:sz="4" w:space="0" w:color="000000"/>
              <w:left w:val="single" w:sz="4" w:space="0" w:color="000000"/>
              <w:bottom w:val="single" w:sz="4" w:space="0" w:color="000000"/>
              <w:right w:val="single" w:sz="4" w:space="0" w:color="000000"/>
            </w:tcBorders>
          </w:tcPr>
          <w:p w14:paraId="728994E7" w14:textId="77777777" w:rsidR="00974426" w:rsidRPr="00974426" w:rsidRDefault="00974426" w:rsidP="00DA2F54">
            <w:pPr>
              <w:spacing w:after="0" w:line="259" w:lineRule="auto"/>
              <w:ind w:left="0" w:right="0" w:firstLine="0"/>
              <w:jc w:val="left"/>
              <w:rPr>
                <w:lang w:val="en-GB"/>
              </w:rPr>
            </w:pPr>
            <w:r w:rsidRPr="00974426">
              <w:rPr>
                <w:b/>
                <w:lang w:val="en-GB"/>
              </w:rPr>
              <w:t xml:space="preserve">Justification for scoring  </w:t>
            </w:r>
          </w:p>
        </w:tc>
      </w:tr>
      <w:tr w:rsidR="00974426" w:rsidRPr="00974426" w14:paraId="39B58A9B" w14:textId="77777777" w:rsidTr="00974426">
        <w:trPr>
          <w:trHeight w:val="286"/>
        </w:trPr>
        <w:tc>
          <w:tcPr>
            <w:tcW w:w="1559" w:type="dxa"/>
            <w:tcBorders>
              <w:top w:val="single" w:sz="4" w:space="0" w:color="000000"/>
              <w:left w:val="single" w:sz="4" w:space="0" w:color="000000"/>
              <w:bottom w:val="single" w:sz="4" w:space="0" w:color="000000"/>
              <w:right w:val="single" w:sz="4" w:space="0" w:color="000000"/>
            </w:tcBorders>
          </w:tcPr>
          <w:p w14:paraId="75B13852" w14:textId="77777777" w:rsidR="00974426" w:rsidRPr="00974426" w:rsidRDefault="00974426" w:rsidP="00DA2F54">
            <w:pPr>
              <w:spacing w:after="0" w:line="259" w:lineRule="auto"/>
              <w:ind w:left="0" w:right="0" w:firstLine="0"/>
              <w:jc w:val="center"/>
              <w:rPr>
                <w:lang w:val="en-GB"/>
              </w:rPr>
            </w:pPr>
            <w:r w:rsidRPr="00974426">
              <w:rPr>
                <w:lang w:val="en-GB"/>
              </w:rPr>
              <w:t>30</w:t>
            </w:r>
          </w:p>
        </w:tc>
        <w:tc>
          <w:tcPr>
            <w:tcW w:w="6522" w:type="dxa"/>
            <w:tcBorders>
              <w:top w:val="single" w:sz="4" w:space="0" w:color="000000"/>
              <w:left w:val="single" w:sz="4" w:space="0" w:color="000000"/>
              <w:bottom w:val="single" w:sz="4" w:space="0" w:color="000000"/>
              <w:right w:val="single" w:sz="4" w:space="0" w:color="000000"/>
            </w:tcBorders>
          </w:tcPr>
          <w:p w14:paraId="2ACA9B53" w14:textId="2A76B691" w:rsidR="00974426" w:rsidRPr="00974426" w:rsidRDefault="00974426" w:rsidP="00DA2F54">
            <w:pPr>
              <w:spacing w:after="0" w:line="259" w:lineRule="auto"/>
              <w:ind w:left="0" w:right="0" w:firstLine="0"/>
              <w:rPr>
                <w:lang w:val="en-GB"/>
              </w:rPr>
            </w:pPr>
            <w:r w:rsidRPr="00974426">
              <w:rPr>
                <w:lang w:val="en-GB"/>
              </w:rPr>
              <w:t xml:space="preserve">The Commission will have a comprehensive overview of the scope and capabilities of the </w:t>
            </w:r>
            <w:r w:rsidR="0044048E">
              <w:rPr>
                <w:lang w:val="en-GB"/>
              </w:rPr>
              <w:t xml:space="preserve">web monitoring system </w:t>
            </w:r>
            <w:r w:rsidRPr="00974426">
              <w:rPr>
                <w:lang w:val="en-GB"/>
              </w:rPr>
              <w:t>offered.</w:t>
            </w:r>
          </w:p>
        </w:tc>
      </w:tr>
      <w:tr w:rsidR="00974426" w:rsidRPr="00974426" w14:paraId="5E5D81A1" w14:textId="77777777" w:rsidTr="00974426">
        <w:trPr>
          <w:trHeight w:val="286"/>
        </w:trPr>
        <w:tc>
          <w:tcPr>
            <w:tcW w:w="1559" w:type="dxa"/>
            <w:tcBorders>
              <w:top w:val="single" w:sz="4" w:space="0" w:color="000000"/>
              <w:left w:val="single" w:sz="4" w:space="0" w:color="000000"/>
              <w:bottom w:val="single" w:sz="4" w:space="0" w:color="000000"/>
              <w:right w:val="single" w:sz="4" w:space="0" w:color="000000"/>
            </w:tcBorders>
          </w:tcPr>
          <w:p w14:paraId="049332C8" w14:textId="77777777" w:rsidR="00974426" w:rsidRPr="00974426" w:rsidRDefault="00974426" w:rsidP="00DA2F54">
            <w:pPr>
              <w:spacing w:after="0" w:line="259" w:lineRule="auto"/>
              <w:ind w:left="0" w:right="0" w:firstLine="0"/>
              <w:jc w:val="center"/>
              <w:rPr>
                <w:lang w:val="en-GB"/>
              </w:rPr>
            </w:pPr>
            <w:r w:rsidRPr="00974426">
              <w:rPr>
                <w:lang w:val="en-GB"/>
              </w:rPr>
              <w:t>0</w:t>
            </w:r>
          </w:p>
        </w:tc>
        <w:tc>
          <w:tcPr>
            <w:tcW w:w="6522" w:type="dxa"/>
            <w:tcBorders>
              <w:top w:val="single" w:sz="4" w:space="0" w:color="000000"/>
              <w:left w:val="single" w:sz="4" w:space="0" w:color="000000"/>
              <w:bottom w:val="single" w:sz="4" w:space="0" w:color="000000"/>
              <w:right w:val="single" w:sz="4" w:space="0" w:color="000000"/>
            </w:tcBorders>
          </w:tcPr>
          <w:p w14:paraId="1E0FC74C" w14:textId="5AF10984" w:rsidR="00974426" w:rsidRPr="00974426" w:rsidRDefault="00974426" w:rsidP="00DA2F54">
            <w:pPr>
              <w:spacing w:after="0" w:line="259" w:lineRule="auto"/>
              <w:ind w:left="0" w:right="0" w:firstLine="0"/>
              <w:jc w:val="left"/>
              <w:rPr>
                <w:lang w:val="en-GB"/>
              </w:rPr>
            </w:pPr>
            <w:r w:rsidRPr="00974426">
              <w:rPr>
                <w:lang w:val="en-GB"/>
              </w:rPr>
              <w:t xml:space="preserve">The Commission's overview of the scope and capabilities of the proposed </w:t>
            </w:r>
            <w:r w:rsidR="0044048E">
              <w:rPr>
                <w:lang w:val="en-GB"/>
              </w:rPr>
              <w:t xml:space="preserve">web monitoring system </w:t>
            </w:r>
            <w:r w:rsidRPr="00974426">
              <w:rPr>
                <w:lang w:val="en-GB"/>
              </w:rPr>
              <w:t xml:space="preserve">was lacking. </w:t>
            </w:r>
            <w:r w:rsidR="0044048E" w:rsidRPr="00590933">
              <w:rPr>
                <w:lang w:val="en-GB"/>
              </w:rPr>
              <w:t>The submitted samples of the keyword-based search and of the user dashboard were not unambiguously understandable to the Commission and did not have a simple design or intuitive user logic.</w:t>
            </w:r>
          </w:p>
        </w:tc>
      </w:tr>
    </w:tbl>
    <w:p w14:paraId="0C486DFD" w14:textId="77777777" w:rsidR="00974426" w:rsidRPr="00974426" w:rsidRDefault="00974426" w:rsidP="00974426">
      <w:pPr>
        <w:ind w:right="0"/>
        <w:rPr>
          <w:lang w:val="en-GB"/>
        </w:rPr>
      </w:pPr>
    </w:p>
    <w:p w14:paraId="6F1EA6F1" w14:textId="6C06F88C" w:rsidR="00974426" w:rsidRPr="00974426" w:rsidRDefault="00974426" w:rsidP="00974426">
      <w:pPr>
        <w:pStyle w:val="Loendilik"/>
        <w:numPr>
          <w:ilvl w:val="1"/>
          <w:numId w:val="14"/>
        </w:numPr>
        <w:ind w:left="993" w:right="0" w:hanging="567"/>
        <w:rPr>
          <w:lang w:val="en-GB"/>
        </w:rPr>
      </w:pPr>
      <w:r w:rsidRPr="00974426">
        <w:rPr>
          <w:lang w:val="en-GB"/>
        </w:rPr>
        <w:t>The scores achieved in points 4.2 to 4.3 shall be aggregated and the Contracting Authority shall award the tender with the highest total value points on the basis of the above criteria. The estimation accuracy is two decimal places.</w:t>
      </w:r>
    </w:p>
    <w:p w14:paraId="1136A34F" w14:textId="627A0CC4" w:rsidR="00974426" w:rsidRPr="0044048E" w:rsidRDefault="00974426" w:rsidP="0044048E">
      <w:pPr>
        <w:pStyle w:val="Loendilik"/>
        <w:numPr>
          <w:ilvl w:val="1"/>
          <w:numId w:val="14"/>
        </w:numPr>
        <w:ind w:left="993" w:right="0" w:hanging="567"/>
        <w:rPr>
          <w:lang w:val="en-GB"/>
        </w:rPr>
      </w:pPr>
      <w:r w:rsidRPr="00974426">
        <w:rPr>
          <w:lang w:val="en-GB"/>
        </w:rPr>
        <w:t>In the event that two or more tenders have equal scores, the successful tender will be determined by drawing lots. The procedure for drawing lots is determined by the Contracting Authority. Tenderers who have submitted an equivalent tender shall have the right to be present at the drawing of lots</w:t>
      </w:r>
      <w:r w:rsidR="0044048E">
        <w:rPr>
          <w:lang w:val="en-GB"/>
        </w:rPr>
        <w:t>;</w:t>
      </w:r>
      <w:r w:rsidRPr="00974426">
        <w:rPr>
          <w:lang w:val="en-GB"/>
        </w:rPr>
        <w:t xml:space="preserve"> </w:t>
      </w:r>
      <w:r w:rsidR="0044048E" w:rsidRPr="0044048E">
        <w:rPr>
          <w:lang w:val="en-GB"/>
        </w:rPr>
        <w:t>however, their absence shall not preclude the Contracting Authority from drawing lots at the scheduled time.</w:t>
      </w:r>
      <w:r w:rsidR="0044048E">
        <w:rPr>
          <w:lang w:val="en-GB"/>
        </w:rPr>
        <w:t xml:space="preserve"> </w:t>
      </w:r>
      <w:r w:rsidRPr="0044048E">
        <w:rPr>
          <w:lang w:val="en-GB"/>
        </w:rPr>
        <w:t>The Contracting Authority shall inform the tenderers by e-mail of the procedure, time and place of drawing lots using the contact details provided by the tenderer.</w:t>
      </w:r>
    </w:p>
    <w:p w14:paraId="451F88EF" w14:textId="7F48A96B" w:rsidR="00A703D1" w:rsidRPr="00974426" w:rsidRDefault="00A703D1" w:rsidP="00A703D1">
      <w:pPr>
        <w:spacing w:after="0" w:line="259" w:lineRule="auto"/>
        <w:ind w:left="0" w:right="0" w:firstLine="0"/>
        <w:jc w:val="left"/>
        <w:rPr>
          <w:lang w:val="en-GB"/>
        </w:rPr>
      </w:pPr>
    </w:p>
    <w:p w14:paraId="255DB0A0" w14:textId="2198757E" w:rsidR="00974426" w:rsidRPr="00974426" w:rsidRDefault="00974426" w:rsidP="00974426">
      <w:pPr>
        <w:spacing w:after="0" w:line="259" w:lineRule="auto"/>
        <w:ind w:left="-5" w:right="0"/>
        <w:jc w:val="left"/>
        <w:rPr>
          <w:lang w:val="en-GB"/>
        </w:rPr>
      </w:pPr>
      <w:r w:rsidRPr="00974426">
        <w:rPr>
          <w:b/>
          <w:lang w:val="en-GB"/>
        </w:rPr>
        <w:t>By submitting a tender, the tenderer shall confirm that it:</w:t>
      </w:r>
    </w:p>
    <w:p w14:paraId="164DB295" w14:textId="77777777" w:rsidR="00974426" w:rsidRPr="00974426" w:rsidRDefault="00974426" w:rsidP="00974426">
      <w:pPr>
        <w:numPr>
          <w:ilvl w:val="0"/>
          <w:numId w:val="1"/>
        </w:numPr>
        <w:ind w:right="0" w:hanging="360"/>
        <w:rPr>
          <w:lang w:val="en-GB"/>
        </w:rPr>
      </w:pPr>
      <w:r w:rsidRPr="00974426">
        <w:rPr>
          <w:lang w:val="en-GB"/>
        </w:rPr>
        <w:t xml:space="preserve">accepts all the terms and conditions set out in the invitation to tender, including the terms and conditions of the contract set out in the draft contract; </w:t>
      </w:r>
    </w:p>
    <w:p w14:paraId="3DC8CA68" w14:textId="70E033EB" w:rsidR="00974426" w:rsidRPr="00974426" w:rsidRDefault="00974426" w:rsidP="00974426">
      <w:pPr>
        <w:numPr>
          <w:ilvl w:val="0"/>
          <w:numId w:val="1"/>
        </w:numPr>
        <w:spacing w:after="94"/>
        <w:ind w:right="0" w:hanging="360"/>
        <w:rPr>
          <w:lang w:val="en-GB"/>
        </w:rPr>
      </w:pPr>
      <w:r w:rsidRPr="00974426">
        <w:rPr>
          <w:lang w:val="en-GB"/>
        </w:rPr>
        <w:lastRenderedPageBreak/>
        <w:t xml:space="preserve">The tender shall be valid for at least </w:t>
      </w:r>
      <w:r w:rsidR="00B54394">
        <w:rPr>
          <w:lang w:val="en-GB"/>
        </w:rPr>
        <w:t>20</w:t>
      </w:r>
      <w:r w:rsidRPr="00974426">
        <w:rPr>
          <w:lang w:val="en-GB"/>
        </w:rPr>
        <w:t xml:space="preserve"> days from the closing date for the submission of tenders. </w:t>
      </w:r>
    </w:p>
    <w:p w14:paraId="5B09CE2C" w14:textId="77777777" w:rsidR="00974426" w:rsidRPr="00974426" w:rsidRDefault="00974426" w:rsidP="00974426">
      <w:pPr>
        <w:ind w:right="0"/>
        <w:rPr>
          <w:lang w:val="en-GB"/>
        </w:rPr>
      </w:pPr>
    </w:p>
    <w:p w14:paraId="22375862" w14:textId="0CC17AE4" w:rsidR="00974426" w:rsidRPr="00974426" w:rsidRDefault="00974426" w:rsidP="00974426">
      <w:pPr>
        <w:ind w:right="0"/>
        <w:rPr>
          <w:lang w:val="en-GB"/>
        </w:rPr>
      </w:pPr>
      <w:r w:rsidRPr="00974426">
        <w:rPr>
          <w:lang w:val="en-GB"/>
        </w:rPr>
        <w:t xml:space="preserve">The contact person of the Contracting Authority who provides explanations on procurement-related issues is </w:t>
      </w:r>
      <w:r w:rsidR="00B54394">
        <w:rPr>
          <w:lang w:val="en-GB"/>
        </w:rPr>
        <w:t xml:space="preserve">Helen Rohtla </w:t>
      </w:r>
      <w:r w:rsidRPr="00974426">
        <w:rPr>
          <w:lang w:val="en-GB"/>
        </w:rPr>
        <w:t xml:space="preserve">(e-mail address </w:t>
      </w:r>
      <w:r w:rsidR="00B54394">
        <w:t>helen.rohtla</w:t>
      </w:r>
      <w:r w:rsidR="00B54394" w:rsidRPr="00590933">
        <w:t>@ttja.ee</w:t>
      </w:r>
      <w:r w:rsidRPr="00974426">
        <w:rPr>
          <w:lang w:val="en-GB"/>
        </w:rPr>
        <w:t xml:space="preserve">). The Contracting Authority is not obliged to answer questions related to the procurement submitted later than 2 working days before the deadline for the submission of tenders.  </w:t>
      </w:r>
    </w:p>
    <w:p w14:paraId="40467EBE" w14:textId="77777777" w:rsidR="00974426" w:rsidRPr="00974426" w:rsidRDefault="00974426" w:rsidP="00974426">
      <w:pPr>
        <w:spacing w:after="0" w:line="259" w:lineRule="auto"/>
        <w:ind w:left="0" w:right="0" w:firstLine="0"/>
        <w:jc w:val="left"/>
        <w:rPr>
          <w:b/>
          <w:lang w:val="en-GB"/>
        </w:rPr>
      </w:pPr>
    </w:p>
    <w:p w14:paraId="2128B789" w14:textId="7B5F422F" w:rsidR="00974426" w:rsidRPr="00590933" w:rsidRDefault="00974426" w:rsidP="00590933">
      <w:pPr>
        <w:spacing w:after="0" w:line="259" w:lineRule="auto"/>
        <w:ind w:left="0" w:right="0" w:firstLine="0"/>
        <w:jc w:val="left"/>
        <w:rPr>
          <w:b/>
          <w:bCs/>
          <w:lang w:val="en-GB"/>
        </w:rPr>
      </w:pPr>
      <w:r w:rsidRPr="00590933">
        <w:rPr>
          <w:b/>
          <w:bCs/>
          <w:lang w:val="en-GB"/>
        </w:rPr>
        <w:t xml:space="preserve">Please submit the offer no later than </w:t>
      </w:r>
      <w:r w:rsidR="00611B0B">
        <w:rPr>
          <w:b/>
          <w:bCs/>
          <w:lang w:val="en-GB"/>
        </w:rPr>
        <w:t>22</w:t>
      </w:r>
      <w:r w:rsidR="005107DB">
        <w:rPr>
          <w:b/>
          <w:bCs/>
          <w:lang w:val="en-GB"/>
        </w:rPr>
        <w:t xml:space="preserve"> December </w:t>
      </w:r>
      <w:r w:rsidRPr="00590933">
        <w:rPr>
          <w:b/>
          <w:bCs/>
          <w:lang w:val="en-GB"/>
        </w:rPr>
        <w:t>202</w:t>
      </w:r>
      <w:r w:rsidR="00726CF4" w:rsidRPr="00590933">
        <w:rPr>
          <w:b/>
          <w:bCs/>
          <w:lang w:val="en-GB"/>
        </w:rPr>
        <w:t>5</w:t>
      </w:r>
      <w:r w:rsidRPr="00590933">
        <w:rPr>
          <w:b/>
          <w:bCs/>
          <w:lang w:val="en-GB"/>
        </w:rPr>
        <w:t xml:space="preserve"> at </w:t>
      </w:r>
      <w:r w:rsidR="00611B0B">
        <w:rPr>
          <w:b/>
          <w:bCs/>
          <w:lang w:val="en-GB"/>
        </w:rPr>
        <w:t>3</w:t>
      </w:r>
      <w:r w:rsidR="005107DB">
        <w:rPr>
          <w:b/>
          <w:bCs/>
          <w:lang w:val="en-GB"/>
        </w:rPr>
        <w:t>:00 p.m.</w:t>
      </w:r>
      <w:r w:rsidRPr="00590933">
        <w:rPr>
          <w:b/>
          <w:bCs/>
          <w:lang w:val="en-GB"/>
        </w:rPr>
        <w:t xml:space="preserve"> </w:t>
      </w:r>
      <w:r w:rsidR="00B54394" w:rsidRPr="00590933">
        <w:rPr>
          <w:b/>
          <w:bCs/>
        </w:rPr>
        <w:t xml:space="preserve">(UTC+02:00) </w:t>
      </w:r>
      <w:r w:rsidRPr="00590933">
        <w:rPr>
          <w:b/>
          <w:bCs/>
          <w:lang w:val="en-GB"/>
        </w:rPr>
        <w:t xml:space="preserve">to the email address </w:t>
      </w:r>
      <w:r w:rsidR="00B54394" w:rsidRPr="00590933">
        <w:rPr>
          <w:b/>
          <w:bCs/>
        </w:rPr>
        <w:t>helen.rohtla@ttja.ee</w:t>
      </w:r>
      <w:r w:rsidRPr="00590933">
        <w:rPr>
          <w:b/>
          <w:bCs/>
          <w:lang w:val="en-GB"/>
        </w:rPr>
        <w:t>.</w:t>
      </w:r>
    </w:p>
    <w:p w14:paraId="3215C395" w14:textId="6566F709" w:rsidR="00974426" w:rsidRPr="00974426" w:rsidRDefault="00974426" w:rsidP="00974426">
      <w:pPr>
        <w:spacing w:after="0" w:line="259" w:lineRule="auto"/>
        <w:ind w:left="0" w:right="0" w:firstLine="0"/>
        <w:jc w:val="left"/>
        <w:rPr>
          <w:lang w:val="en-GB"/>
        </w:rPr>
      </w:pPr>
    </w:p>
    <w:p w14:paraId="07FD098B" w14:textId="77777777" w:rsidR="00974426" w:rsidRPr="00974426" w:rsidRDefault="00974426" w:rsidP="00974426">
      <w:pPr>
        <w:spacing w:after="0" w:line="259" w:lineRule="auto"/>
        <w:ind w:left="0" w:right="0" w:firstLine="0"/>
        <w:jc w:val="left"/>
        <w:rPr>
          <w:lang w:val="en-GB"/>
        </w:rPr>
      </w:pPr>
      <w:r w:rsidRPr="00974426">
        <w:rPr>
          <w:u w:val="single" w:color="000000"/>
          <w:lang w:val="en-GB"/>
        </w:rPr>
        <w:t xml:space="preserve">The CPTRA reserves the right to reject all submitted tenders regardless of the reason(s).  </w:t>
      </w:r>
    </w:p>
    <w:p w14:paraId="1163C7E1" w14:textId="3A20056A" w:rsidR="00974426" w:rsidRPr="00974426" w:rsidRDefault="00974426" w:rsidP="00974426">
      <w:pPr>
        <w:spacing w:after="0" w:line="259" w:lineRule="auto"/>
        <w:ind w:left="0" w:right="0" w:firstLine="0"/>
        <w:jc w:val="left"/>
        <w:rPr>
          <w:b/>
          <w:lang w:val="en-GB"/>
        </w:rPr>
      </w:pPr>
    </w:p>
    <w:p w14:paraId="3BF7C6EC" w14:textId="7E1AE31E" w:rsidR="00974426" w:rsidRPr="00974426" w:rsidRDefault="00974426" w:rsidP="00974426">
      <w:pPr>
        <w:spacing w:after="0" w:line="259" w:lineRule="auto"/>
        <w:ind w:left="0" w:right="0" w:firstLine="0"/>
        <w:rPr>
          <w:lang w:val="en-GB"/>
        </w:rPr>
      </w:pPr>
      <w:r w:rsidRPr="00974426">
        <w:rPr>
          <w:lang w:val="en-GB"/>
        </w:rPr>
        <w:t xml:space="preserve">The time limits for bringing an action for review in a public contract the estimated value of which is less than the threshold for simple procurement laid down in Paragraph 14(1) of the </w:t>
      </w:r>
      <w:hyperlink r:id="rId8" w:history="1">
        <w:r w:rsidRPr="00974426">
          <w:rPr>
            <w:rStyle w:val="Hperlink"/>
            <w:lang w:val="en-GB"/>
          </w:rPr>
          <w:t>Public Procurement Act</w:t>
        </w:r>
      </w:hyperlink>
      <w:r w:rsidRPr="00974426">
        <w:rPr>
          <w:lang w:val="en-GB"/>
        </w:rPr>
        <w:t xml:space="preserve"> (RHS) are subject to the time limits for bringing an action in a simplified procurement procedure (§ 189 (4</w:t>
      </w:r>
      <w:r w:rsidRPr="00974426">
        <w:rPr>
          <w:vertAlign w:val="superscript"/>
          <w:lang w:val="en-GB"/>
        </w:rPr>
        <w:t>1</w:t>
      </w:r>
      <w:r w:rsidRPr="00974426">
        <w:rPr>
          <w:lang w:val="en-GB"/>
        </w:rPr>
        <w:t>) RHS).</w:t>
      </w:r>
    </w:p>
    <w:p w14:paraId="2B9730D0" w14:textId="77777777" w:rsidR="00974426" w:rsidRPr="00974426" w:rsidRDefault="00974426" w:rsidP="00974426">
      <w:pPr>
        <w:spacing w:after="0" w:line="259" w:lineRule="auto"/>
        <w:ind w:left="0" w:right="0" w:firstLine="0"/>
        <w:rPr>
          <w:lang w:val="en-GB"/>
        </w:rPr>
      </w:pPr>
    </w:p>
    <w:p w14:paraId="623876AC" w14:textId="77777777" w:rsidR="00974426" w:rsidRPr="00974426" w:rsidRDefault="00974426" w:rsidP="00974426">
      <w:pPr>
        <w:spacing w:after="0" w:line="259" w:lineRule="auto"/>
        <w:ind w:left="0" w:right="0" w:firstLine="0"/>
        <w:rPr>
          <w:lang w:val="en-GB"/>
        </w:rPr>
      </w:pPr>
    </w:p>
    <w:p w14:paraId="2B2D9FE5" w14:textId="77777777" w:rsidR="00974426" w:rsidRPr="00974426" w:rsidRDefault="00974426" w:rsidP="00974426">
      <w:pPr>
        <w:spacing w:after="0" w:line="259" w:lineRule="auto"/>
        <w:ind w:left="-5" w:right="6839"/>
        <w:rPr>
          <w:b/>
          <w:color w:val="auto"/>
          <w:lang w:val="en-GB"/>
        </w:rPr>
      </w:pPr>
      <w:r w:rsidRPr="00974426">
        <w:rPr>
          <w:b/>
          <w:color w:val="auto"/>
          <w:lang w:val="en-GB"/>
        </w:rPr>
        <w:t xml:space="preserve">Annexes </w:t>
      </w:r>
    </w:p>
    <w:p w14:paraId="105BCDE4" w14:textId="1B37AC18" w:rsidR="00974426" w:rsidRPr="00974426" w:rsidRDefault="00974426" w:rsidP="00974426">
      <w:pPr>
        <w:spacing w:after="0" w:line="259" w:lineRule="auto"/>
        <w:ind w:left="-5"/>
        <w:rPr>
          <w:color w:val="auto"/>
          <w:lang w:val="en-GB"/>
        </w:rPr>
      </w:pPr>
      <w:r w:rsidRPr="00974426">
        <w:rPr>
          <w:color w:val="auto"/>
          <w:lang w:val="en-GB"/>
        </w:rPr>
        <w:t xml:space="preserve">Annex 1 – Translation of the </w:t>
      </w:r>
      <w:r w:rsidR="00D92D6A">
        <w:rPr>
          <w:color w:val="auto"/>
          <w:lang w:val="en-GB"/>
        </w:rPr>
        <w:t xml:space="preserve">call for </w:t>
      </w:r>
      <w:r w:rsidRPr="00974426">
        <w:rPr>
          <w:color w:val="auto"/>
          <w:lang w:val="en-GB"/>
        </w:rPr>
        <w:t xml:space="preserve">tender into English </w:t>
      </w:r>
    </w:p>
    <w:p w14:paraId="2CF6520F" w14:textId="46239231" w:rsidR="00974426" w:rsidRPr="00974426" w:rsidRDefault="00974426" w:rsidP="00974426">
      <w:pPr>
        <w:spacing w:after="0" w:line="259" w:lineRule="auto"/>
        <w:ind w:left="-5"/>
        <w:rPr>
          <w:color w:val="auto"/>
          <w:lang w:val="en-GB"/>
        </w:rPr>
      </w:pPr>
      <w:r w:rsidRPr="00974426">
        <w:rPr>
          <w:color w:val="auto"/>
          <w:lang w:val="en-GB"/>
        </w:rPr>
        <w:t>Annex 2 – Confirmation of compliance of the proposed database with the technical specifications and functionality</w:t>
      </w:r>
    </w:p>
    <w:p w14:paraId="5E7AF92F" w14:textId="5DAC3605" w:rsidR="00726CF4" w:rsidRDefault="00974426" w:rsidP="00974426">
      <w:pPr>
        <w:spacing w:after="0" w:line="259" w:lineRule="auto"/>
        <w:ind w:left="-5"/>
        <w:rPr>
          <w:color w:val="auto"/>
          <w:lang w:val="en-GB"/>
        </w:rPr>
      </w:pPr>
      <w:r w:rsidRPr="00974426">
        <w:rPr>
          <w:color w:val="auto"/>
          <w:lang w:val="en-GB"/>
        </w:rPr>
        <w:t xml:space="preserve">Annex 3 – </w:t>
      </w:r>
      <w:r w:rsidR="00726CF4">
        <w:rPr>
          <w:color w:val="000000" w:themeColor="text1"/>
          <w:lang w:val="en-GB"/>
        </w:rPr>
        <w:t>T</w:t>
      </w:r>
      <w:r w:rsidR="00726CF4" w:rsidRPr="008D54BE">
        <w:rPr>
          <w:color w:val="000000" w:themeColor="text1"/>
          <w:lang w:val="en-GB"/>
        </w:rPr>
        <w:t xml:space="preserve">he technical specifications and functionality </w:t>
      </w:r>
      <w:r w:rsidR="00726CF4">
        <w:rPr>
          <w:color w:val="000000" w:themeColor="text1"/>
          <w:lang w:val="en-GB"/>
        </w:rPr>
        <w:t>of the Database</w:t>
      </w:r>
    </w:p>
    <w:p w14:paraId="3F104820" w14:textId="13C41190" w:rsidR="00785036" w:rsidRPr="00785036" w:rsidRDefault="00726CF4" w:rsidP="00590933">
      <w:pPr>
        <w:ind w:left="0" w:right="0" w:firstLine="0"/>
        <w:rPr>
          <w:lang w:val="en-GB"/>
        </w:rPr>
      </w:pPr>
      <w:r>
        <w:rPr>
          <w:color w:val="auto"/>
          <w:lang w:val="en-GB"/>
        </w:rPr>
        <w:t xml:space="preserve">Annex 4 – </w:t>
      </w:r>
      <w:r w:rsidR="00974426" w:rsidRPr="00974426">
        <w:rPr>
          <w:color w:val="auto"/>
          <w:lang w:val="en-GB"/>
        </w:rPr>
        <w:t>Draft contract in Estonian and English</w:t>
      </w:r>
    </w:p>
    <w:sectPr w:rsidR="00785036" w:rsidRPr="00785036" w:rsidSect="00974426">
      <w:footerReference w:type="default" r:id="rId9"/>
      <w:pgSz w:w="11906" w:h="16838"/>
      <w:pgMar w:top="758" w:right="1414" w:bottom="1276"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D185" w14:textId="77777777" w:rsidR="00844FFF" w:rsidRDefault="00844FFF" w:rsidP="00844FFF">
      <w:pPr>
        <w:spacing w:after="0" w:line="240" w:lineRule="auto"/>
      </w:pPr>
      <w:r>
        <w:separator/>
      </w:r>
    </w:p>
  </w:endnote>
  <w:endnote w:type="continuationSeparator" w:id="0">
    <w:p w14:paraId="2381DD81" w14:textId="77777777" w:rsidR="00844FFF" w:rsidRDefault="00844FFF" w:rsidP="0084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656496"/>
      <w:docPartObj>
        <w:docPartGallery w:val="Page Numbers (Bottom of Page)"/>
        <w:docPartUnique/>
      </w:docPartObj>
    </w:sdtPr>
    <w:sdtEndPr/>
    <w:sdtContent>
      <w:p w14:paraId="7D3D2A77" w14:textId="4FC012EE" w:rsidR="00685092" w:rsidRDefault="00685092">
        <w:pPr>
          <w:pStyle w:val="Jalus"/>
          <w:jc w:val="right"/>
        </w:pPr>
        <w:r>
          <w:fldChar w:fldCharType="begin"/>
        </w:r>
        <w:r>
          <w:instrText>PAGE   \* MERGEFORMAT</w:instrText>
        </w:r>
        <w:r>
          <w:fldChar w:fldCharType="separate"/>
        </w:r>
        <w:r>
          <w:t>2</w:t>
        </w:r>
        <w:r>
          <w:fldChar w:fldCharType="end"/>
        </w:r>
      </w:p>
    </w:sdtContent>
  </w:sdt>
  <w:p w14:paraId="61317159" w14:textId="77777777" w:rsidR="00685092" w:rsidRDefault="0068509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F28A" w14:textId="77777777" w:rsidR="00844FFF" w:rsidRDefault="00844FFF" w:rsidP="00844FFF">
      <w:pPr>
        <w:spacing w:after="0" w:line="240" w:lineRule="auto"/>
      </w:pPr>
      <w:r>
        <w:separator/>
      </w:r>
    </w:p>
  </w:footnote>
  <w:footnote w:type="continuationSeparator" w:id="0">
    <w:p w14:paraId="284AA930" w14:textId="77777777" w:rsidR="00844FFF" w:rsidRDefault="00844FFF" w:rsidP="00844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0B29"/>
    <w:multiLevelType w:val="hybridMultilevel"/>
    <w:tmpl w:val="5044AB8C"/>
    <w:lvl w:ilvl="0" w:tplc="4A8A1956">
      <w:numFmt w:val="bullet"/>
      <w:lvlText w:val="•"/>
      <w:lvlJc w:val="left"/>
      <w:pPr>
        <w:ind w:left="861" w:hanging="435"/>
      </w:pPr>
      <w:rPr>
        <w:rFonts w:ascii="Times New Roman" w:eastAsia="Times New Roman" w:hAnsi="Times New Roman" w:cs="Times New Roman" w:hint="default"/>
      </w:rPr>
    </w:lvl>
    <w:lvl w:ilvl="1" w:tplc="04250003" w:tentative="1">
      <w:start w:val="1"/>
      <w:numFmt w:val="bullet"/>
      <w:lvlText w:val="o"/>
      <w:lvlJc w:val="left"/>
      <w:pPr>
        <w:ind w:left="1506" w:hanging="360"/>
      </w:pPr>
      <w:rPr>
        <w:rFonts w:ascii="Courier New" w:hAnsi="Courier New" w:cs="Courier New" w:hint="default"/>
      </w:rPr>
    </w:lvl>
    <w:lvl w:ilvl="2" w:tplc="04250005" w:tentative="1">
      <w:start w:val="1"/>
      <w:numFmt w:val="bullet"/>
      <w:lvlText w:val=""/>
      <w:lvlJc w:val="left"/>
      <w:pPr>
        <w:ind w:left="2226" w:hanging="360"/>
      </w:pPr>
      <w:rPr>
        <w:rFonts w:ascii="Wingdings" w:hAnsi="Wingdings" w:hint="default"/>
      </w:rPr>
    </w:lvl>
    <w:lvl w:ilvl="3" w:tplc="04250001" w:tentative="1">
      <w:start w:val="1"/>
      <w:numFmt w:val="bullet"/>
      <w:lvlText w:val=""/>
      <w:lvlJc w:val="left"/>
      <w:pPr>
        <w:ind w:left="2946" w:hanging="360"/>
      </w:pPr>
      <w:rPr>
        <w:rFonts w:ascii="Symbol" w:hAnsi="Symbol" w:hint="default"/>
      </w:rPr>
    </w:lvl>
    <w:lvl w:ilvl="4" w:tplc="04250003" w:tentative="1">
      <w:start w:val="1"/>
      <w:numFmt w:val="bullet"/>
      <w:lvlText w:val="o"/>
      <w:lvlJc w:val="left"/>
      <w:pPr>
        <w:ind w:left="3666" w:hanging="360"/>
      </w:pPr>
      <w:rPr>
        <w:rFonts w:ascii="Courier New" w:hAnsi="Courier New" w:cs="Courier New" w:hint="default"/>
      </w:rPr>
    </w:lvl>
    <w:lvl w:ilvl="5" w:tplc="04250005" w:tentative="1">
      <w:start w:val="1"/>
      <w:numFmt w:val="bullet"/>
      <w:lvlText w:val=""/>
      <w:lvlJc w:val="left"/>
      <w:pPr>
        <w:ind w:left="4386" w:hanging="360"/>
      </w:pPr>
      <w:rPr>
        <w:rFonts w:ascii="Wingdings" w:hAnsi="Wingdings" w:hint="default"/>
      </w:rPr>
    </w:lvl>
    <w:lvl w:ilvl="6" w:tplc="04250001" w:tentative="1">
      <w:start w:val="1"/>
      <w:numFmt w:val="bullet"/>
      <w:lvlText w:val=""/>
      <w:lvlJc w:val="left"/>
      <w:pPr>
        <w:ind w:left="5106" w:hanging="360"/>
      </w:pPr>
      <w:rPr>
        <w:rFonts w:ascii="Symbol" w:hAnsi="Symbol" w:hint="default"/>
      </w:rPr>
    </w:lvl>
    <w:lvl w:ilvl="7" w:tplc="04250003" w:tentative="1">
      <w:start w:val="1"/>
      <w:numFmt w:val="bullet"/>
      <w:lvlText w:val="o"/>
      <w:lvlJc w:val="left"/>
      <w:pPr>
        <w:ind w:left="5826" w:hanging="360"/>
      </w:pPr>
      <w:rPr>
        <w:rFonts w:ascii="Courier New" w:hAnsi="Courier New" w:cs="Courier New" w:hint="default"/>
      </w:rPr>
    </w:lvl>
    <w:lvl w:ilvl="8" w:tplc="04250005" w:tentative="1">
      <w:start w:val="1"/>
      <w:numFmt w:val="bullet"/>
      <w:lvlText w:val=""/>
      <w:lvlJc w:val="left"/>
      <w:pPr>
        <w:ind w:left="6546" w:hanging="360"/>
      </w:pPr>
      <w:rPr>
        <w:rFonts w:ascii="Wingdings" w:hAnsi="Wingdings" w:hint="default"/>
      </w:rPr>
    </w:lvl>
  </w:abstractNum>
  <w:abstractNum w:abstractNumId="1" w15:restartNumberingAfterBreak="0">
    <w:nsid w:val="20687A7C"/>
    <w:multiLevelType w:val="hybridMultilevel"/>
    <w:tmpl w:val="959AA8B4"/>
    <w:lvl w:ilvl="0" w:tplc="04250001">
      <w:start w:val="1"/>
      <w:numFmt w:val="bullet"/>
      <w:lvlText w:val=""/>
      <w:lvlJc w:val="left"/>
      <w:pPr>
        <w:ind w:left="1996" w:hanging="360"/>
      </w:pPr>
      <w:rPr>
        <w:rFonts w:ascii="Symbol" w:hAnsi="Symbol" w:hint="default"/>
      </w:rPr>
    </w:lvl>
    <w:lvl w:ilvl="1" w:tplc="04250003" w:tentative="1">
      <w:start w:val="1"/>
      <w:numFmt w:val="bullet"/>
      <w:lvlText w:val="o"/>
      <w:lvlJc w:val="left"/>
      <w:pPr>
        <w:ind w:left="2716" w:hanging="360"/>
      </w:pPr>
      <w:rPr>
        <w:rFonts w:ascii="Courier New" w:hAnsi="Courier New" w:cs="Courier New" w:hint="default"/>
      </w:rPr>
    </w:lvl>
    <w:lvl w:ilvl="2" w:tplc="04250005" w:tentative="1">
      <w:start w:val="1"/>
      <w:numFmt w:val="bullet"/>
      <w:lvlText w:val=""/>
      <w:lvlJc w:val="left"/>
      <w:pPr>
        <w:ind w:left="3436" w:hanging="360"/>
      </w:pPr>
      <w:rPr>
        <w:rFonts w:ascii="Wingdings" w:hAnsi="Wingdings" w:hint="default"/>
      </w:rPr>
    </w:lvl>
    <w:lvl w:ilvl="3" w:tplc="04250001" w:tentative="1">
      <w:start w:val="1"/>
      <w:numFmt w:val="bullet"/>
      <w:lvlText w:val=""/>
      <w:lvlJc w:val="left"/>
      <w:pPr>
        <w:ind w:left="4156" w:hanging="360"/>
      </w:pPr>
      <w:rPr>
        <w:rFonts w:ascii="Symbol" w:hAnsi="Symbol" w:hint="default"/>
      </w:rPr>
    </w:lvl>
    <w:lvl w:ilvl="4" w:tplc="04250003" w:tentative="1">
      <w:start w:val="1"/>
      <w:numFmt w:val="bullet"/>
      <w:lvlText w:val="o"/>
      <w:lvlJc w:val="left"/>
      <w:pPr>
        <w:ind w:left="4876" w:hanging="360"/>
      </w:pPr>
      <w:rPr>
        <w:rFonts w:ascii="Courier New" w:hAnsi="Courier New" w:cs="Courier New" w:hint="default"/>
      </w:rPr>
    </w:lvl>
    <w:lvl w:ilvl="5" w:tplc="04250005" w:tentative="1">
      <w:start w:val="1"/>
      <w:numFmt w:val="bullet"/>
      <w:lvlText w:val=""/>
      <w:lvlJc w:val="left"/>
      <w:pPr>
        <w:ind w:left="5596" w:hanging="360"/>
      </w:pPr>
      <w:rPr>
        <w:rFonts w:ascii="Wingdings" w:hAnsi="Wingdings" w:hint="default"/>
      </w:rPr>
    </w:lvl>
    <w:lvl w:ilvl="6" w:tplc="04250001" w:tentative="1">
      <w:start w:val="1"/>
      <w:numFmt w:val="bullet"/>
      <w:lvlText w:val=""/>
      <w:lvlJc w:val="left"/>
      <w:pPr>
        <w:ind w:left="6316" w:hanging="360"/>
      </w:pPr>
      <w:rPr>
        <w:rFonts w:ascii="Symbol" w:hAnsi="Symbol" w:hint="default"/>
      </w:rPr>
    </w:lvl>
    <w:lvl w:ilvl="7" w:tplc="04250003" w:tentative="1">
      <w:start w:val="1"/>
      <w:numFmt w:val="bullet"/>
      <w:lvlText w:val="o"/>
      <w:lvlJc w:val="left"/>
      <w:pPr>
        <w:ind w:left="7036" w:hanging="360"/>
      </w:pPr>
      <w:rPr>
        <w:rFonts w:ascii="Courier New" w:hAnsi="Courier New" w:cs="Courier New" w:hint="default"/>
      </w:rPr>
    </w:lvl>
    <w:lvl w:ilvl="8" w:tplc="04250005" w:tentative="1">
      <w:start w:val="1"/>
      <w:numFmt w:val="bullet"/>
      <w:lvlText w:val=""/>
      <w:lvlJc w:val="left"/>
      <w:pPr>
        <w:ind w:left="7756" w:hanging="360"/>
      </w:pPr>
      <w:rPr>
        <w:rFonts w:ascii="Wingdings" w:hAnsi="Wingdings" w:hint="default"/>
      </w:rPr>
    </w:lvl>
  </w:abstractNum>
  <w:abstractNum w:abstractNumId="2" w15:restartNumberingAfterBreak="0">
    <w:nsid w:val="26B64E00"/>
    <w:multiLevelType w:val="hybridMultilevel"/>
    <w:tmpl w:val="2B329198"/>
    <w:lvl w:ilvl="0" w:tplc="4A8A1956">
      <w:numFmt w:val="bullet"/>
      <w:lvlText w:val="•"/>
      <w:lvlJc w:val="left"/>
      <w:pPr>
        <w:ind w:left="1287" w:hanging="435"/>
      </w:pPr>
      <w:rPr>
        <w:rFonts w:ascii="Times New Roman" w:eastAsia="Times New Roman" w:hAnsi="Times New Roman" w:cs="Times New Roman" w:hint="default"/>
      </w:rPr>
    </w:lvl>
    <w:lvl w:ilvl="1" w:tplc="04250003" w:tentative="1">
      <w:start w:val="1"/>
      <w:numFmt w:val="bullet"/>
      <w:lvlText w:val="o"/>
      <w:lvlJc w:val="left"/>
      <w:pPr>
        <w:ind w:left="1866" w:hanging="360"/>
      </w:pPr>
      <w:rPr>
        <w:rFonts w:ascii="Courier New" w:hAnsi="Courier New" w:cs="Courier New"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3" w15:restartNumberingAfterBreak="0">
    <w:nsid w:val="2A9D72F1"/>
    <w:multiLevelType w:val="hybridMultilevel"/>
    <w:tmpl w:val="9350E872"/>
    <w:lvl w:ilvl="0" w:tplc="04250001">
      <w:start w:val="1"/>
      <w:numFmt w:val="bullet"/>
      <w:lvlText w:val=""/>
      <w:lvlJc w:val="left"/>
      <w:pPr>
        <w:ind w:left="1146" w:hanging="360"/>
      </w:pPr>
      <w:rPr>
        <w:rFonts w:ascii="Symbol" w:hAnsi="Symbol" w:hint="default"/>
      </w:rPr>
    </w:lvl>
    <w:lvl w:ilvl="1" w:tplc="04250003" w:tentative="1">
      <w:start w:val="1"/>
      <w:numFmt w:val="bullet"/>
      <w:lvlText w:val="o"/>
      <w:lvlJc w:val="left"/>
      <w:pPr>
        <w:ind w:left="1866" w:hanging="360"/>
      </w:pPr>
      <w:rPr>
        <w:rFonts w:ascii="Courier New" w:hAnsi="Courier New" w:cs="Courier New"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4" w15:restartNumberingAfterBreak="0">
    <w:nsid w:val="30444ABD"/>
    <w:multiLevelType w:val="hybridMultilevel"/>
    <w:tmpl w:val="2584B446"/>
    <w:lvl w:ilvl="0" w:tplc="3796EB7A">
      <w:start w:val="1"/>
      <w:numFmt w:val="lowerLetter"/>
      <w:lvlText w:val="%1)"/>
      <w:lvlJc w:val="left"/>
      <w:pPr>
        <w:ind w:left="1636" w:hanging="360"/>
      </w:pPr>
      <w:rPr>
        <w:rFonts w:hint="default"/>
      </w:rPr>
    </w:lvl>
    <w:lvl w:ilvl="1" w:tplc="04250019" w:tentative="1">
      <w:start w:val="1"/>
      <w:numFmt w:val="lowerLetter"/>
      <w:lvlText w:val="%2."/>
      <w:lvlJc w:val="left"/>
      <w:pPr>
        <w:ind w:left="2356" w:hanging="360"/>
      </w:pPr>
    </w:lvl>
    <w:lvl w:ilvl="2" w:tplc="0425001B" w:tentative="1">
      <w:start w:val="1"/>
      <w:numFmt w:val="lowerRoman"/>
      <w:lvlText w:val="%3."/>
      <w:lvlJc w:val="right"/>
      <w:pPr>
        <w:ind w:left="3076" w:hanging="180"/>
      </w:pPr>
    </w:lvl>
    <w:lvl w:ilvl="3" w:tplc="0425000F" w:tentative="1">
      <w:start w:val="1"/>
      <w:numFmt w:val="decimal"/>
      <w:lvlText w:val="%4."/>
      <w:lvlJc w:val="left"/>
      <w:pPr>
        <w:ind w:left="3796" w:hanging="360"/>
      </w:pPr>
    </w:lvl>
    <w:lvl w:ilvl="4" w:tplc="04250019" w:tentative="1">
      <w:start w:val="1"/>
      <w:numFmt w:val="lowerLetter"/>
      <w:lvlText w:val="%5."/>
      <w:lvlJc w:val="left"/>
      <w:pPr>
        <w:ind w:left="4516" w:hanging="360"/>
      </w:pPr>
    </w:lvl>
    <w:lvl w:ilvl="5" w:tplc="0425001B" w:tentative="1">
      <w:start w:val="1"/>
      <w:numFmt w:val="lowerRoman"/>
      <w:lvlText w:val="%6."/>
      <w:lvlJc w:val="right"/>
      <w:pPr>
        <w:ind w:left="5236" w:hanging="180"/>
      </w:pPr>
    </w:lvl>
    <w:lvl w:ilvl="6" w:tplc="0425000F" w:tentative="1">
      <w:start w:val="1"/>
      <w:numFmt w:val="decimal"/>
      <w:lvlText w:val="%7."/>
      <w:lvlJc w:val="left"/>
      <w:pPr>
        <w:ind w:left="5956" w:hanging="360"/>
      </w:pPr>
    </w:lvl>
    <w:lvl w:ilvl="7" w:tplc="04250019" w:tentative="1">
      <w:start w:val="1"/>
      <w:numFmt w:val="lowerLetter"/>
      <w:lvlText w:val="%8."/>
      <w:lvlJc w:val="left"/>
      <w:pPr>
        <w:ind w:left="6676" w:hanging="360"/>
      </w:pPr>
    </w:lvl>
    <w:lvl w:ilvl="8" w:tplc="0425001B" w:tentative="1">
      <w:start w:val="1"/>
      <w:numFmt w:val="lowerRoman"/>
      <w:lvlText w:val="%9."/>
      <w:lvlJc w:val="right"/>
      <w:pPr>
        <w:ind w:left="7396" w:hanging="180"/>
      </w:pPr>
    </w:lvl>
  </w:abstractNum>
  <w:abstractNum w:abstractNumId="5" w15:restartNumberingAfterBreak="0">
    <w:nsid w:val="32ED61C2"/>
    <w:multiLevelType w:val="hybridMultilevel"/>
    <w:tmpl w:val="5988383E"/>
    <w:lvl w:ilvl="0" w:tplc="FBA48A8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EC7B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DCBD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B2D0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1C78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0245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1E78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34EC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6A1B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C200D1"/>
    <w:multiLevelType w:val="multilevel"/>
    <w:tmpl w:val="B224B69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1754FC"/>
    <w:multiLevelType w:val="multilevel"/>
    <w:tmpl w:val="27509D36"/>
    <w:lvl w:ilvl="0">
      <w:start w:val="1"/>
      <w:numFmt w:val="decimal"/>
      <w:lvlText w:val="%1."/>
      <w:lvlJc w:val="left"/>
      <w:pPr>
        <w:ind w:left="490" w:hanging="490"/>
      </w:pPr>
      <w:rPr>
        <w:rFonts w:hint="default"/>
      </w:rPr>
    </w:lvl>
    <w:lvl w:ilvl="1">
      <w:start w:val="1"/>
      <w:numFmt w:val="decimal"/>
      <w:lvlText w:val="%1.%2."/>
      <w:lvlJc w:val="left"/>
      <w:pPr>
        <w:ind w:left="835" w:hanging="49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8" w15:restartNumberingAfterBreak="0">
    <w:nsid w:val="4AD51F7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CB569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2F2944"/>
    <w:multiLevelType w:val="multilevel"/>
    <w:tmpl w:val="B224B69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8E5B8A"/>
    <w:multiLevelType w:val="hybridMultilevel"/>
    <w:tmpl w:val="17EC0390"/>
    <w:lvl w:ilvl="0" w:tplc="4A8A1956">
      <w:numFmt w:val="bullet"/>
      <w:lvlText w:val="•"/>
      <w:lvlJc w:val="left"/>
      <w:pPr>
        <w:ind w:left="1287" w:hanging="435"/>
      </w:pPr>
      <w:rPr>
        <w:rFonts w:ascii="Times New Roman" w:eastAsia="Times New Roman" w:hAnsi="Times New Roman" w:cs="Times New Roman" w:hint="default"/>
      </w:rPr>
    </w:lvl>
    <w:lvl w:ilvl="1" w:tplc="04250003" w:tentative="1">
      <w:start w:val="1"/>
      <w:numFmt w:val="bullet"/>
      <w:lvlText w:val="o"/>
      <w:lvlJc w:val="left"/>
      <w:pPr>
        <w:ind w:left="1866" w:hanging="360"/>
      </w:pPr>
      <w:rPr>
        <w:rFonts w:ascii="Courier New" w:hAnsi="Courier New" w:cs="Courier New"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12" w15:restartNumberingAfterBreak="0">
    <w:nsid w:val="61D31776"/>
    <w:multiLevelType w:val="hybridMultilevel"/>
    <w:tmpl w:val="91B2CD1A"/>
    <w:lvl w:ilvl="0" w:tplc="04250001">
      <w:start w:val="1"/>
      <w:numFmt w:val="bullet"/>
      <w:lvlText w:val=""/>
      <w:lvlJc w:val="left"/>
      <w:pPr>
        <w:ind w:left="1996" w:hanging="360"/>
      </w:pPr>
      <w:rPr>
        <w:rFonts w:ascii="Symbol" w:hAnsi="Symbol" w:hint="default"/>
      </w:rPr>
    </w:lvl>
    <w:lvl w:ilvl="1" w:tplc="04250003" w:tentative="1">
      <w:start w:val="1"/>
      <w:numFmt w:val="bullet"/>
      <w:lvlText w:val="o"/>
      <w:lvlJc w:val="left"/>
      <w:pPr>
        <w:ind w:left="2716" w:hanging="360"/>
      </w:pPr>
      <w:rPr>
        <w:rFonts w:ascii="Courier New" w:hAnsi="Courier New" w:cs="Courier New" w:hint="default"/>
      </w:rPr>
    </w:lvl>
    <w:lvl w:ilvl="2" w:tplc="04250005" w:tentative="1">
      <w:start w:val="1"/>
      <w:numFmt w:val="bullet"/>
      <w:lvlText w:val=""/>
      <w:lvlJc w:val="left"/>
      <w:pPr>
        <w:ind w:left="3436" w:hanging="360"/>
      </w:pPr>
      <w:rPr>
        <w:rFonts w:ascii="Wingdings" w:hAnsi="Wingdings" w:hint="default"/>
      </w:rPr>
    </w:lvl>
    <w:lvl w:ilvl="3" w:tplc="04250001" w:tentative="1">
      <w:start w:val="1"/>
      <w:numFmt w:val="bullet"/>
      <w:lvlText w:val=""/>
      <w:lvlJc w:val="left"/>
      <w:pPr>
        <w:ind w:left="4156" w:hanging="360"/>
      </w:pPr>
      <w:rPr>
        <w:rFonts w:ascii="Symbol" w:hAnsi="Symbol" w:hint="default"/>
      </w:rPr>
    </w:lvl>
    <w:lvl w:ilvl="4" w:tplc="04250003" w:tentative="1">
      <w:start w:val="1"/>
      <w:numFmt w:val="bullet"/>
      <w:lvlText w:val="o"/>
      <w:lvlJc w:val="left"/>
      <w:pPr>
        <w:ind w:left="4876" w:hanging="360"/>
      </w:pPr>
      <w:rPr>
        <w:rFonts w:ascii="Courier New" w:hAnsi="Courier New" w:cs="Courier New" w:hint="default"/>
      </w:rPr>
    </w:lvl>
    <w:lvl w:ilvl="5" w:tplc="04250005" w:tentative="1">
      <w:start w:val="1"/>
      <w:numFmt w:val="bullet"/>
      <w:lvlText w:val=""/>
      <w:lvlJc w:val="left"/>
      <w:pPr>
        <w:ind w:left="5596" w:hanging="360"/>
      </w:pPr>
      <w:rPr>
        <w:rFonts w:ascii="Wingdings" w:hAnsi="Wingdings" w:hint="default"/>
      </w:rPr>
    </w:lvl>
    <w:lvl w:ilvl="6" w:tplc="04250001" w:tentative="1">
      <w:start w:val="1"/>
      <w:numFmt w:val="bullet"/>
      <w:lvlText w:val=""/>
      <w:lvlJc w:val="left"/>
      <w:pPr>
        <w:ind w:left="6316" w:hanging="360"/>
      </w:pPr>
      <w:rPr>
        <w:rFonts w:ascii="Symbol" w:hAnsi="Symbol" w:hint="default"/>
      </w:rPr>
    </w:lvl>
    <w:lvl w:ilvl="7" w:tplc="04250003" w:tentative="1">
      <w:start w:val="1"/>
      <w:numFmt w:val="bullet"/>
      <w:lvlText w:val="o"/>
      <w:lvlJc w:val="left"/>
      <w:pPr>
        <w:ind w:left="7036" w:hanging="360"/>
      </w:pPr>
      <w:rPr>
        <w:rFonts w:ascii="Courier New" w:hAnsi="Courier New" w:cs="Courier New" w:hint="default"/>
      </w:rPr>
    </w:lvl>
    <w:lvl w:ilvl="8" w:tplc="04250005" w:tentative="1">
      <w:start w:val="1"/>
      <w:numFmt w:val="bullet"/>
      <w:lvlText w:val=""/>
      <w:lvlJc w:val="left"/>
      <w:pPr>
        <w:ind w:left="7756" w:hanging="360"/>
      </w:pPr>
      <w:rPr>
        <w:rFonts w:ascii="Wingdings" w:hAnsi="Wingdings" w:hint="default"/>
      </w:rPr>
    </w:lvl>
  </w:abstractNum>
  <w:abstractNum w:abstractNumId="13" w15:restartNumberingAfterBreak="0">
    <w:nsid w:val="672E1728"/>
    <w:multiLevelType w:val="multilevel"/>
    <w:tmpl w:val="B224B69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7E594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3A0A38"/>
    <w:multiLevelType w:val="hybridMultilevel"/>
    <w:tmpl w:val="5330EAB4"/>
    <w:lvl w:ilvl="0" w:tplc="04250011">
      <w:start w:val="1"/>
      <w:numFmt w:val="decimal"/>
      <w:lvlText w:val="%1)"/>
      <w:lvlJc w:val="left"/>
      <w:pPr>
        <w:ind w:left="1065" w:hanging="360"/>
      </w:pPr>
    </w:lvl>
    <w:lvl w:ilvl="1" w:tplc="04250019" w:tentative="1">
      <w:start w:val="1"/>
      <w:numFmt w:val="lowerLetter"/>
      <w:lvlText w:val="%2."/>
      <w:lvlJc w:val="left"/>
      <w:pPr>
        <w:ind w:left="1785" w:hanging="360"/>
      </w:pPr>
    </w:lvl>
    <w:lvl w:ilvl="2" w:tplc="0425001B" w:tentative="1">
      <w:start w:val="1"/>
      <w:numFmt w:val="lowerRoman"/>
      <w:lvlText w:val="%3."/>
      <w:lvlJc w:val="right"/>
      <w:pPr>
        <w:ind w:left="2505" w:hanging="180"/>
      </w:pPr>
    </w:lvl>
    <w:lvl w:ilvl="3" w:tplc="0425000F" w:tentative="1">
      <w:start w:val="1"/>
      <w:numFmt w:val="decimal"/>
      <w:lvlText w:val="%4."/>
      <w:lvlJc w:val="left"/>
      <w:pPr>
        <w:ind w:left="3225" w:hanging="360"/>
      </w:pPr>
    </w:lvl>
    <w:lvl w:ilvl="4" w:tplc="04250019" w:tentative="1">
      <w:start w:val="1"/>
      <w:numFmt w:val="lowerLetter"/>
      <w:lvlText w:val="%5."/>
      <w:lvlJc w:val="left"/>
      <w:pPr>
        <w:ind w:left="3945" w:hanging="360"/>
      </w:pPr>
    </w:lvl>
    <w:lvl w:ilvl="5" w:tplc="0425001B" w:tentative="1">
      <w:start w:val="1"/>
      <w:numFmt w:val="lowerRoman"/>
      <w:lvlText w:val="%6."/>
      <w:lvlJc w:val="right"/>
      <w:pPr>
        <w:ind w:left="4665" w:hanging="180"/>
      </w:pPr>
    </w:lvl>
    <w:lvl w:ilvl="6" w:tplc="0425000F" w:tentative="1">
      <w:start w:val="1"/>
      <w:numFmt w:val="decimal"/>
      <w:lvlText w:val="%7."/>
      <w:lvlJc w:val="left"/>
      <w:pPr>
        <w:ind w:left="5385" w:hanging="360"/>
      </w:pPr>
    </w:lvl>
    <w:lvl w:ilvl="7" w:tplc="04250019" w:tentative="1">
      <w:start w:val="1"/>
      <w:numFmt w:val="lowerLetter"/>
      <w:lvlText w:val="%8."/>
      <w:lvlJc w:val="left"/>
      <w:pPr>
        <w:ind w:left="6105" w:hanging="360"/>
      </w:pPr>
    </w:lvl>
    <w:lvl w:ilvl="8" w:tplc="0425001B" w:tentative="1">
      <w:start w:val="1"/>
      <w:numFmt w:val="lowerRoman"/>
      <w:lvlText w:val="%9."/>
      <w:lvlJc w:val="right"/>
      <w:pPr>
        <w:ind w:left="6825" w:hanging="180"/>
      </w:pPr>
    </w:lvl>
  </w:abstractNum>
  <w:abstractNum w:abstractNumId="16" w15:restartNumberingAfterBreak="0">
    <w:nsid w:val="792A0C23"/>
    <w:multiLevelType w:val="hybridMultilevel"/>
    <w:tmpl w:val="982C72D2"/>
    <w:lvl w:ilvl="0" w:tplc="4A8A1956">
      <w:numFmt w:val="bullet"/>
      <w:lvlText w:val="•"/>
      <w:lvlJc w:val="left"/>
      <w:pPr>
        <w:ind w:left="1286" w:hanging="435"/>
      </w:pPr>
      <w:rPr>
        <w:rFonts w:ascii="Times New Roman" w:eastAsia="Times New Roman" w:hAnsi="Times New Roman" w:cs="Times New Roman"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17" w15:restartNumberingAfterBreak="0">
    <w:nsid w:val="7E37551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DF58C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3994232">
    <w:abstractNumId w:val="5"/>
  </w:num>
  <w:num w:numId="2" w16cid:durableId="1955283302">
    <w:abstractNumId w:val="3"/>
  </w:num>
  <w:num w:numId="3" w16cid:durableId="1246458561">
    <w:abstractNumId w:val="0"/>
  </w:num>
  <w:num w:numId="4" w16cid:durableId="604197220">
    <w:abstractNumId w:val="2"/>
  </w:num>
  <w:num w:numId="5" w16cid:durableId="1851680703">
    <w:abstractNumId w:val="11"/>
  </w:num>
  <w:num w:numId="6" w16cid:durableId="884755086">
    <w:abstractNumId w:val="16"/>
  </w:num>
  <w:num w:numId="7" w16cid:durableId="8874027">
    <w:abstractNumId w:val="15"/>
  </w:num>
  <w:num w:numId="8" w16cid:durableId="222064082">
    <w:abstractNumId w:val="12"/>
  </w:num>
  <w:num w:numId="9" w16cid:durableId="1908607834">
    <w:abstractNumId w:val="4"/>
  </w:num>
  <w:num w:numId="10" w16cid:durableId="895244354">
    <w:abstractNumId w:val="1"/>
  </w:num>
  <w:num w:numId="11" w16cid:durableId="106587818">
    <w:abstractNumId w:val="9"/>
  </w:num>
  <w:num w:numId="12" w16cid:durableId="1560364972">
    <w:abstractNumId w:val="7"/>
  </w:num>
  <w:num w:numId="13" w16cid:durableId="1574781268">
    <w:abstractNumId w:val="18"/>
  </w:num>
  <w:num w:numId="14" w16cid:durableId="1865895414">
    <w:abstractNumId w:val="17"/>
  </w:num>
  <w:num w:numId="15" w16cid:durableId="298265825">
    <w:abstractNumId w:val="14"/>
  </w:num>
  <w:num w:numId="16" w16cid:durableId="780959557">
    <w:abstractNumId w:val="8"/>
  </w:num>
  <w:num w:numId="17" w16cid:durableId="557937667">
    <w:abstractNumId w:val="13"/>
  </w:num>
  <w:num w:numId="18" w16cid:durableId="2018457435">
    <w:abstractNumId w:val="10"/>
  </w:num>
  <w:num w:numId="19" w16cid:durableId="1829206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86"/>
    <w:rsid w:val="00010646"/>
    <w:rsid w:val="00017B68"/>
    <w:rsid w:val="00050B6F"/>
    <w:rsid w:val="00054B72"/>
    <w:rsid w:val="0005702A"/>
    <w:rsid w:val="00062ABA"/>
    <w:rsid w:val="00093E72"/>
    <w:rsid w:val="00096A15"/>
    <w:rsid w:val="000A6916"/>
    <w:rsid w:val="000B0B07"/>
    <w:rsid w:val="000C3C7C"/>
    <w:rsid w:val="000E350C"/>
    <w:rsid w:val="00112990"/>
    <w:rsid w:val="001259DE"/>
    <w:rsid w:val="00127756"/>
    <w:rsid w:val="001403AE"/>
    <w:rsid w:val="00150297"/>
    <w:rsid w:val="00174206"/>
    <w:rsid w:val="001C0AA6"/>
    <w:rsid w:val="001C32D6"/>
    <w:rsid w:val="00203550"/>
    <w:rsid w:val="00206A99"/>
    <w:rsid w:val="002260CB"/>
    <w:rsid w:val="00255B65"/>
    <w:rsid w:val="002618EE"/>
    <w:rsid w:val="00263FDF"/>
    <w:rsid w:val="00274F5B"/>
    <w:rsid w:val="00283CD6"/>
    <w:rsid w:val="00287382"/>
    <w:rsid w:val="00290D14"/>
    <w:rsid w:val="002923FD"/>
    <w:rsid w:val="002B1D45"/>
    <w:rsid w:val="002C251B"/>
    <w:rsid w:val="002D2464"/>
    <w:rsid w:val="002E7584"/>
    <w:rsid w:val="00300AA7"/>
    <w:rsid w:val="00301021"/>
    <w:rsid w:val="00311F32"/>
    <w:rsid w:val="003223C2"/>
    <w:rsid w:val="00324548"/>
    <w:rsid w:val="003407F1"/>
    <w:rsid w:val="00340BB4"/>
    <w:rsid w:val="003449D2"/>
    <w:rsid w:val="00373428"/>
    <w:rsid w:val="003773EC"/>
    <w:rsid w:val="003900A9"/>
    <w:rsid w:val="00392E61"/>
    <w:rsid w:val="00395A51"/>
    <w:rsid w:val="003A5099"/>
    <w:rsid w:val="003A5643"/>
    <w:rsid w:val="003E3DF7"/>
    <w:rsid w:val="00402B8C"/>
    <w:rsid w:val="004147DD"/>
    <w:rsid w:val="00420CB4"/>
    <w:rsid w:val="00431326"/>
    <w:rsid w:val="0044048E"/>
    <w:rsid w:val="0044299C"/>
    <w:rsid w:val="004449CD"/>
    <w:rsid w:val="004461C9"/>
    <w:rsid w:val="00457832"/>
    <w:rsid w:val="004671F2"/>
    <w:rsid w:val="004672DE"/>
    <w:rsid w:val="00484A34"/>
    <w:rsid w:val="00487A21"/>
    <w:rsid w:val="004A15FF"/>
    <w:rsid w:val="004D2CF1"/>
    <w:rsid w:val="004D435F"/>
    <w:rsid w:val="004E3BC0"/>
    <w:rsid w:val="00505F8E"/>
    <w:rsid w:val="0051030C"/>
    <w:rsid w:val="005107DB"/>
    <w:rsid w:val="005233BD"/>
    <w:rsid w:val="0052600F"/>
    <w:rsid w:val="00527EB5"/>
    <w:rsid w:val="00530830"/>
    <w:rsid w:val="005371D3"/>
    <w:rsid w:val="00544531"/>
    <w:rsid w:val="0056049E"/>
    <w:rsid w:val="00572F02"/>
    <w:rsid w:val="00583A86"/>
    <w:rsid w:val="00590933"/>
    <w:rsid w:val="005B5760"/>
    <w:rsid w:val="005B581F"/>
    <w:rsid w:val="005C072A"/>
    <w:rsid w:val="005F2620"/>
    <w:rsid w:val="005F409D"/>
    <w:rsid w:val="00610466"/>
    <w:rsid w:val="006113CB"/>
    <w:rsid w:val="00611B0B"/>
    <w:rsid w:val="006279F0"/>
    <w:rsid w:val="00627F36"/>
    <w:rsid w:val="0063324E"/>
    <w:rsid w:val="0063432A"/>
    <w:rsid w:val="00637BD9"/>
    <w:rsid w:val="00640087"/>
    <w:rsid w:val="0065046B"/>
    <w:rsid w:val="00653C40"/>
    <w:rsid w:val="00664D5B"/>
    <w:rsid w:val="006666D3"/>
    <w:rsid w:val="0067300F"/>
    <w:rsid w:val="00683F67"/>
    <w:rsid w:val="00685092"/>
    <w:rsid w:val="00685B3D"/>
    <w:rsid w:val="00694E08"/>
    <w:rsid w:val="006B52AD"/>
    <w:rsid w:val="006B723C"/>
    <w:rsid w:val="0072076F"/>
    <w:rsid w:val="00726CF4"/>
    <w:rsid w:val="007748A4"/>
    <w:rsid w:val="00785036"/>
    <w:rsid w:val="007904A0"/>
    <w:rsid w:val="00791975"/>
    <w:rsid w:val="007B433C"/>
    <w:rsid w:val="007B46BD"/>
    <w:rsid w:val="007C3EC4"/>
    <w:rsid w:val="007D22F0"/>
    <w:rsid w:val="007E6D19"/>
    <w:rsid w:val="0081118F"/>
    <w:rsid w:val="00826E93"/>
    <w:rsid w:val="0084302D"/>
    <w:rsid w:val="00844FFF"/>
    <w:rsid w:val="0084583E"/>
    <w:rsid w:val="00855A42"/>
    <w:rsid w:val="008566E1"/>
    <w:rsid w:val="008967EC"/>
    <w:rsid w:val="008B3CF9"/>
    <w:rsid w:val="008B5F27"/>
    <w:rsid w:val="008C3F90"/>
    <w:rsid w:val="008C5DA7"/>
    <w:rsid w:val="008D33EF"/>
    <w:rsid w:val="008D54BE"/>
    <w:rsid w:val="008E2FEB"/>
    <w:rsid w:val="008F5256"/>
    <w:rsid w:val="00905691"/>
    <w:rsid w:val="00925587"/>
    <w:rsid w:val="00926BB3"/>
    <w:rsid w:val="00930F05"/>
    <w:rsid w:val="00936618"/>
    <w:rsid w:val="00946614"/>
    <w:rsid w:val="0095514E"/>
    <w:rsid w:val="00963A8F"/>
    <w:rsid w:val="0096584A"/>
    <w:rsid w:val="00966C82"/>
    <w:rsid w:val="009739BB"/>
    <w:rsid w:val="00974426"/>
    <w:rsid w:val="009A6C96"/>
    <w:rsid w:val="009C371F"/>
    <w:rsid w:val="009F7317"/>
    <w:rsid w:val="00A00DEC"/>
    <w:rsid w:val="00A044D6"/>
    <w:rsid w:val="00A33CF1"/>
    <w:rsid w:val="00A533D7"/>
    <w:rsid w:val="00A6414B"/>
    <w:rsid w:val="00A65BE8"/>
    <w:rsid w:val="00A703D1"/>
    <w:rsid w:val="00AA736D"/>
    <w:rsid w:val="00AB3930"/>
    <w:rsid w:val="00AD04F7"/>
    <w:rsid w:val="00AE6E97"/>
    <w:rsid w:val="00AF20AB"/>
    <w:rsid w:val="00B02777"/>
    <w:rsid w:val="00B241E3"/>
    <w:rsid w:val="00B26C62"/>
    <w:rsid w:val="00B2793C"/>
    <w:rsid w:val="00B371AE"/>
    <w:rsid w:val="00B53971"/>
    <w:rsid w:val="00B54394"/>
    <w:rsid w:val="00B55330"/>
    <w:rsid w:val="00B56231"/>
    <w:rsid w:val="00B66996"/>
    <w:rsid w:val="00BA0594"/>
    <w:rsid w:val="00BB0AFF"/>
    <w:rsid w:val="00BB7BFE"/>
    <w:rsid w:val="00BC290E"/>
    <w:rsid w:val="00BC5053"/>
    <w:rsid w:val="00BC6B0E"/>
    <w:rsid w:val="00BD0462"/>
    <w:rsid w:val="00BD79FA"/>
    <w:rsid w:val="00BE014A"/>
    <w:rsid w:val="00BE1D34"/>
    <w:rsid w:val="00C06671"/>
    <w:rsid w:val="00C168F1"/>
    <w:rsid w:val="00C368DE"/>
    <w:rsid w:val="00C45221"/>
    <w:rsid w:val="00C45838"/>
    <w:rsid w:val="00C91897"/>
    <w:rsid w:val="00CA4199"/>
    <w:rsid w:val="00CA49FF"/>
    <w:rsid w:val="00CB073A"/>
    <w:rsid w:val="00CB0E0F"/>
    <w:rsid w:val="00CD1208"/>
    <w:rsid w:val="00D121E4"/>
    <w:rsid w:val="00D15FDB"/>
    <w:rsid w:val="00D324A9"/>
    <w:rsid w:val="00D335C6"/>
    <w:rsid w:val="00D50006"/>
    <w:rsid w:val="00D51720"/>
    <w:rsid w:val="00D62AA6"/>
    <w:rsid w:val="00D63F9A"/>
    <w:rsid w:val="00D66E62"/>
    <w:rsid w:val="00D720D1"/>
    <w:rsid w:val="00D72939"/>
    <w:rsid w:val="00D72D42"/>
    <w:rsid w:val="00D828E4"/>
    <w:rsid w:val="00D83E82"/>
    <w:rsid w:val="00D92D6A"/>
    <w:rsid w:val="00D932F7"/>
    <w:rsid w:val="00DA4C70"/>
    <w:rsid w:val="00DA6043"/>
    <w:rsid w:val="00DB4CEB"/>
    <w:rsid w:val="00DB591E"/>
    <w:rsid w:val="00DC1DD5"/>
    <w:rsid w:val="00DC64B6"/>
    <w:rsid w:val="00E05074"/>
    <w:rsid w:val="00E05CBB"/>
    <w:rsid w:val="00E110E5"/>
    <w:rsid w:val="00E3332F"/>
    <w:rsid w:val="00E456A4"/>
    <w:rsid w:val="00E45AC6"/>
    <w:rsid w:val="00E574AC"/>
    <w:rsid w:val="00E7007D"/>
    <w:rsid w:val="00E85704"/>
    <w:rsid w:val="00E97022"/>
    <w:rsid w:val="00EA1951"/>
    <w:rsid w:val="00EB7EA3"/>
    <w:rsid w:val="00EC6D13"/>
    <w:rsid w:val="00EC7B4D"/>
    <w:rsid w:val="00EF7BE5"/>
    <w:rsid w:val="00F00999"/>
    <w:rsid w:val="00F2363A"/>
    <w:rsid w:val="00F41D0C"/>
    <w:rsid w:val="00F63B30"/>
    <w:rsid w:val="00F670F7"/>
    <w:rsid w:val="00F83C68"/>
    <w:rsid w:val="00F968C9"/>
    <w:rsid w:val="00F97167"/>
    <w:rsid w:val="00FA0372"/>
    <w:rsid w:val="00FA75A8"/>
    <w:rsid w:val="00FB5DBC"/>
    <w:rsid w:val="00FC14AC"/>
    <w:rsid w:val="00FF2606"/>
    <w:rsid w:val="00FF4D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24E5"/>
  <w15:docId w15:val="{02B84FE8-D5BF-4F9D-BF72-7253A9C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8" w:line="253" w:lineRule="auto"/>
      <w:ind w:left="10" w:right="4"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oendilik">
    <w:name w:val="List Paragraph"/>
    <w:basedOn w:val="Normaallaad"/>
    <w:uiPriority w:val="34"/>
    <w:qFormat/>
    <w:rsid w:val="00FC14AC"/>
    <w:pPr>
      <w:ind w:left="720"/>
      <w:contextualSpacing/>
    </w:pPr>
  </w:style>
  <w:style w:type="character" w:styleId="Hperlink">
    <w:name w:val="Hyperlink"/>
    <w:basedOn w:val="Liguvaikefont"/>
    <w:uiPriority w:val="99"/>
    <w:unhideWhenUsed/>
    <w:rsid w:val="00CA4199"/>
    <w:rPr>
      <w:color w:val="0563C1" w:themeColor="hyperlink"/>
      <w:u w:val="single"/>
    </w:rPr>
  </w:style>
  <w:style w:type="character" w:styleId="Lahendamatamainimine">
    <w:name w:val="Unresolved Mention"/>
    <w:basedOn w:val="Liguvaikefont"/>
    <w:uiPriority w:val="99"/>
    <w:semiHidden/>
    <w:unhideWhenUsed/>
    <w:rsid w:val="00CA4199"/>
    <w:rPr>
      <w:color w:val="605E5C"/>
      <w:shd w:val="clear" w:color="auto" w:fill="E1DFDD"/>
    </w:rPr>
  </w:style>
  <w:style w:type="character" w:styleId="Kommentaariviide">
    <w:name w:val="annotation reference"/>
    <w:basedOn w:val="Liguvaikefont"/>
    <w:uiPriority w:val="99"/>
    <w:semiHidden/>
    <w:unhideWhenUsed/>
    <w:rsid w:val="00E7007D"/>
    <w:rPr>
      <w:sz w:val="16"/>
      <w:szCs w:val="16"/>
    </w:rPr>
  </w:style>
  <w:style w:type="paragraph" w:styleId="Kommentaaritekst">
    <w:name w:val="annotation text"/>
    <w:basedOn w:val="Normaallaad"/>
    <w:link w:val="KommentaaritekstMrk"/>
    <w:uiPriority w:val="99"/>
    <w:unhideWhenUsed/>
    <w:rsid w:val="00E7007D"/>
    <w:pPr>
      <w:spacing w:line="240" w:lineRule="auto"/>
    </w:pPr>
    <w:rPr>
      <w:sz w:val="20"/>
      <w:szCs w:val="20"/>
    </w:rPr>
  </w:style>
  <w:style w:type="character" w:customStyle="1" w:styleId="KommentaaritekstMrk">
    <w:name w:val="Kommentaari tekst Märk"/>
    <w:basedOn w:val="Liguvaikefont"/>
    <w:link w:val="Kommentaaritekst"/>
    <w:uiPriority w:val="99"/>
    <w:rsid w:val="00E7007D"/>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E7007D"/>
    <w:rPr>
      <w:b/>
      <w:bCs/>
    </w:rPr>
  </w:style>
  <w:style w:type="character" w:customStyle="1" w:styleId="KommentaariteemaMrk">
    <w:name w:val="Kommentaari teema Märk"/>
    <w:basedOn w:val="KommentaaritekstMrk"/>
    <w:link w:val="Kommentaariteema"/>
    <w:uiPriority w:val="99"/>
    <w:semiHidden/>
    <w:rsid w:val="00E7007D"/>
    <w:rPr>
      <w:rFonts w:ascii="Times New Roman" w:eastAsia="Times New Roman" w:hAnsi="Times New Roman" w:cs="Times New Roman"/>
      <w:b/>
      <w:bCs/>
      <w:color w:val="000000"/>
      <w:sz w:val="20"/>
      <w:szCs w:val="20"/>
    </w:rPr>
  </w:style>
  <w:style w:type="paragraph" w:styleId="Redaktsioon">
    <w:name w:val="Revision"/>
    <w:hidden/>
    <w:uiPriority w:val="99"/>
    <w:semiHidden/>
    <w:rsid w:val="00F41D0C"/>
    <w:pPr>
      <w:spacing w:after="0" w:line="240" w:lineRule="auto"/>
    </w:pPr>
    <w:rPr>
      <w:rFonts w:ascii="Times New Roman" w:eastAsia="Times New Roman" w:hAnsi="Times New Roman" w:cs="Times New Roman"/>
      <w:color w:val="000000"/>
      <w:sz w:val="24"/>
    </w:rPr>
  </w:style>
  <w:style w:type="character" w:styleId="Klastatudhperlink">
    <w:name w:val="FollowedHyperlink"/>
    <w:basedOn w:val="Liguvaikefont"/>
    <w:uiPriority w:val="99"/>
    <w:semiHidden/>
    <w:unhideWhenUsed/>
    <w:rsid w:val="00E574AC"/>
    <w:rPr>
      <w:color w:val="954F72" w:themeColor="followedHyperlink"/>
      <w:u w:val="single"/>
    </w:rPr>
  </w:style>
  <w:style w:type="paragraph" w:styleId="Allmrkusetekst">
    <w:name w:val="footnote text"/>
    <w:basedOn w:val="Normaallaad"/>
    <w:link w:val="AllmrkusetekstMrk"/>
    <w:uiPriority w:val="99"/>
    <w:semiHidden/>
    <w:unhideWhenUsed/>
    <w:rsid w:val="00844FFF"/>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844FFF"/>
    <w:rPr>
      <w:rFonts w:ascii="Times New Roman" w:eastAsia="Times New Roman" w:hAnsi="Times New Roman" w:cs="Times New Roman"/>
      <w:color w:val="000000"/>
      <w:sz w:val="20"/>
      <w:szCs w:val="20"/>
    </w:rPr>
  </w:style>
  <w:style w:type="character" w:styleId="Allmrkuseviide">
    <w:name w:val="footnote reference"/>
    <w:basedOn w:val="Liguvaikefont"/>
    <w:uiPriority w:val="99"/>
    <w:semiHidden/>
    <w:unhideWhenUsed/>
    <w:rsid w:val="00844FFF"/>
    <w:rPr>
      <w:vertAlign w:val="superscript"/>
    </w:rPr>
  </w:style>
  <w:style w:type="paragraph" w:styleId="Pis">
    <w:name w:val="header"/>
    <w:basedOn w:val="Normaallaad"/>
    <w:link w:val="PisMrk"/>
    <w:uiPriority w:val="99"/>
    <w:unhideWhenUsed/>
    <w:rsid w:val="00685092"/>
    <w:pPr>
      <w:tabs>
        <w:tab w:val="center" w:pos="4536"/>
        <w:tab w:val="right" w:pos="9072"/>
      </w:tabs>
      <w:spacing w:after="0" w:line="240" w:lineRule="auto"/>
    </w:pPr>
  </w:style>
  <w:style w:type="character" w:customStyle="1" w:styleId="PisMrk">
    <w:name w:val="Päis Märk"/>
    <w:basedOn w:val="Liguvaikefont"/>
    <w:link w:val="Pis"/>
    <w:uiPriority w:val="99"/>
    <w:rsid w:val="00685092"/>
    <w:rPr>
      <w:rFonts w:ascii="Times New Roman" w:eastAsia="Times New Roman" w:hAnsi="Times New Roman" w:cs="Times New Roman"/>
      <w:color w:val="000000"/>
      <w:sz w:val="24"/>
    </w:rPr>
  </w:style>
  <w:style w:type="paragraph" w:styleId="Jalus">
    <w:name w:val="footer"/>
    <w:basedOn w:val="Normaallaad"/>
    <w:link w:val="JalusMrk"/>
    <w:uiPriority w:val="99"/>
    <w:unhideWhenUsed/>
    <w:rsid w:val="00685092"/>
    <w:pPr>
      <w:tabs>
        <w:tab w:val="center" w:pos="4536"/>
        <w:tab w:val="right" w:pos="9072"/>
      </w:tabs>
      <w:spacing w:after="0" w:line="240" w:lineRule="auto"/>
    </w:pPr>
  </w:style>
  <w:style w:type="character" w:customStyle="1" w:styleId="JalusMrk">
    <w:name w:val="Jalus Märk"/>
    <w:basedOn w:val="Liguvaikefont"/>
    <w:link w:val="Jalus"/>
    <w:uiPriority w:val="99"/>
    <w:rsid w:val="00685092"/>
    <w:rPr>
      <w:rFonts w:ascii="Times New Roman" w:eastAsia="Times New Roman" w:hAnsi="Times New Roman" w:cs="Times New Roman"/>
      <w:color w:val="000000"/>
      <w:sz w:val="24"/>
    </w:rPr>
  </w:style>
  <w:style w:type="table" w:styleId="Kontuurtabel">
    <w:name w:val="Table Grid"/>
    <w:basedOn w:val="Normaaltabel"/>
    <w:uiPriority w:val="39"/>
    <w:rsid w:val="00BA0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iigiteataja.ee/en/eli/508072024001/consoli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F236A-8D2A-45EC-8BCB-77C0F5117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1888</Words>
  <Characters>10951</Characters>
  <Application>Microsoft Office Word</Application>
  <DocSecurity>0</DocSecurity>
  <Lines>91</Lines>
  <Paragraphs>25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Liivak</dc:creator>
  <cp:keywords/>
  <cp:lastModifiedBy>Helen Rohtla</cp:lastModifiedBy>
  <cp:revision>8</cp:revision>
  <dcterms:created xsi:type="dcterms:W3CDTF">2025-12-04T21:07:00Z</dcterms:created>
  <dcterms:modified xsi:type="dcterms:W3CDTF">2025-12-08T14:58:00Z</dcterms:modified>
</cp:coreProperties>
</file>